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51F01" w14:textId="25B24D36" w:rsidR="008829B9" w:rsidRDefault="009B412E" w:rsidP="00133847">
      <w:pPr>
        <w:spacing w:after="0" w:line="240" w:lineRule="auto"/>
        <w:rPr>
          <w:b/>
          <w:color w:val="E36C0A" w:themeColor="accent6" w:themeShade="BF"/>
          <w:sz w:val="32"/>
          <w:szCs w:val="32"/>
        </w:rPr>
      </w:pPr>
      <w:bookmarkStart w:id="0" w:name="_GoBack"/>
      <w:bookmarkEnd w:id="0"/>
      <w:r w:rsidRPr="008B0E17">
        <w:rPr>
          <w:noProof/>
          <w:color w:val="1F497D" w:themeColor="text2"/>
          <w:sz w:val="32"/>
          <w:szCs w:val="32"/>
        </w:rPr>
        <w:drawing>
          <wp:anchor distT="0" distB="0" distL="114300" distR="114300" simplePos="0" relativeHeight="251655680" behindDoc="0" locked="0" layoutInCell="1" allowOverlap="1" wp14:anchorId="147249FE" wp14:editId="2F676B73">
            <wp:simplePos x="0" y="0"/>
            <wp:positionH relativeFrom="margin">
              <wp:posOffset>4874895</wp:posOffset>
            </wp:positionH>
            <wp:positionV relativeFrom="margin">
              <wp:posOffset>-53340</wp:posOffset>
            </wp:positionV>
            <wp:extent cx="1871345" cy="741680"/>
            <wp:effectExtent l="0" t="0" r="0" b="127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reative\DESE-Elem-Secondary-Education\Logo\DESE-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1345" cy="74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72FB">
        <w:rPr>
          <w:b/>
          <w:color w:val="E36C0A" w:themeColor="accent6" w:themeShade="BF"/>
          <w:sz w:val="32"/>
          <w:szCs w:val="32"/>
        </w:rPr>
        <w:t xml:space="preserve">Eligible </w:t>
      </w:r>
      <w:r w:rsidR="008829B9" w:rsidRPr="008829B9">
        <w:rPr>
          <w:b/>
          <w:color w:val="E36C0A" w:themeColor="accent6" w:themeShade="BF"/>
          <w:sz w:val="32"/>
          <w:szCs w:val="32"/>
        </w:rPr>
        <w:t>Perkins V</w:t>
      </w:r>
      <w:r w:rsidR="008829B9">
        <w:rPr>
          <w:b/>
          <w:color w:val="E36C0A" w:themeColor="accent6" w:themeShade="BF"/>
          <w:sz w:val="32"/>
          <w:szCs w:val="32"/>
        </w:rPr>
        <w:t xml:space="preserve"> </w:t>
      </w:r>
      <w:r w:rsidR="007872FB">
        <w:rPr>
          <w:b/>
          <w:color w:val="E36C0A" w:themeColor="accent6" w:themeShade="BF"/>
          <w:sz w:val="32"/>
          <w:szCs w:val="32"/>
        </w:rPr>
        <w:t>Grantees</w:t>
      </w:r>
      <w:r w:rsidR="008829B9" w:rsidRPr="008829B9">
        <w:rPr>
          <w:b/>
          <w:color w:val="E36C0A" w:themeColor="accent6" w:themeShade="BF"/>
          <w:sz w:val="32"/>
          <w:szCs w:val="32"/>
        </w:rPr>
        <w:t xml:space="preserve"> and High</w:t>
      </w:r>
      <w:r w:rsidR="009332A3">
        <w:rPr>
          <w:b/>
          <w:color w:val="E36C0A" w:themeColor="accent6" w:themeShade="BF"/>
          <w:sz w:val="32"/>
          <w:szCs w:val="32"/>
        </w:rPr>
        <w:t xml:space="preserve"> </w:t>
      </w:r>
      <w:r w:rsidR="007C205F">
        <w:rPr>
          <w:b/>
          <w:color w:val="E36C0A" w:themeColor="accent6" w:themeShade="BF"/>
          <w:sz w:val="32"/>
          <w:szCs w:val="32"/>
        </w:rPr>
        <w:t xml:space="preserve">Quality </w:t>
      </w:r>
      <w:r w:rsidR="008829B9" w:rsidRPr="008829B9">
        <w:rPr>
          <w:b/>
          <w:color w:val="E36C0A" w:themeColor="accent6" w:themeShade="BF"/>
          <w:sz w:val="32"/>
          <w:szCs w:val="32"/>
        </w:rPr>
        <w:t>College and Career Pathways (HQCCP)</w:t>
      </w:r>
    </w:p>
    <w:p w14:paraId="7F1689FF" w14:textId="77777777" w:rsidR="007F4905" w:rsidRDefault="00972D90" w:rsidP="0042798F">
      <w:pPr>
        <w:spacing w:after="0" w:line="240" w:lineRule="auto"/>
        <w:rPr>
          <w:b/>
          <w:color w:val="1F497D" w:themeColor="text2"/>
          <w:sz w:val="24"/>
          <w:szCs w:val="32"/>
        </w:rPr>
      </w:pPr>
      <w:r w:rsidRPr="00AB1465">
        <w:rPr>
          <w:b/>
          <w:color w:val="1F497D" w:themeColor="text2"/>
          <w:sz w:val="24"/>
          <w:szCs w:val="32"/>
        </w:rPr>
        <w:t>Quick Reference Guide</w:t>
      </w:r>
      <w:r w:rsidR="008829B9">
        <w:rPr>
          <w:b/>
          <w:color w:val="1F497D" w:themeColor="text2"/>
          <w:sz w:val="24"/>
          <w:szCs w:val="32"/>
        </w:rPr>
        <w:t xml:space="preserve"> </w:t>
      </w:r>
    </w:p>
    <w:p w14:paraId="7B517556" w14:textId="4448E13D" w:rsidR="005872F1" w:rsidRPr="00073E2D" w:rsidRDefault="003B4A37" w:rsidP="003B4A37">
      <w:pPr>
        <w:spacing w:after="0" w:line="240" w:lineRule="auto"/>
        <w:rPr>
          <w:b/>
          <w:color w:val="1F497D" w:themeColor="text2"/>
          <w:szCs w:val="28"/>
        </w:rPr>
      </w:pPr>
      <w:r w:rsidRPr="00073E2D">
        <w:rPr>
          <w:b/>
          <w:color w:val="1F497D" w:themeColor="text2"/>
          <w:szCs w:val="28"/>
        </w:rPr>
        <w:t>This guide seeks to clarify how Perkins V grants (fund codes 400 and 401) interact with the Innovation Pathways</w:t>
      </w:r>
      <w:r>
        <w:rPr>
          <w:b/>
          <w:color w:val="1F497D" w:themeColor="text2"/>
          <w:szCs w:val="28"/>
        </w:rPr>
        <w:t xml:space="preserve"> </w:t>
      </w:r>
      <w:r w:rsidRPr="00073E2D">
        <w:rPr>
          <w:b/>
          <w:color w:val="1F497D" w:themeColor="text2"/>
          <w:szCs w:val="28"/>
        </w:rPr>
        <w:t>and Early College Designation</w:t>
      </w:r>
      <w:r>
        <w:rPr>
          <w:b/>
          <w:color w:val="1F497D" w:themeColor="text2"/>
          <w:szCs w:val="28"/>
        </w:rPr>
        <w:t xml:space="preserve"> HQCCP programs</w:t>
      </w:r>
      <w:r w:rsidRPr="00073E2D">
        <w:rPr>
          <w:b/>
          <w:color w:val="1F497D" w:themeColor="text2"/>
          <w:szCs w:val="28"/>
        </w:rPr>
        <w:t>.</w:t>
      </w:r>
    </w:p>
    <w:p w14:paraId="004C597C" w14:textId="77777777" w:rsidR="008829B9" w:rsidRPr="00133847" w:rsidRDefault="008829B9" w:rsidP="0042798F">
      <w:pPr>
        <w:spacing w:after="0" w:line="240" w:lineRule="auto"/>
        <w:rPr>
          <w:b/>
          <w:color w:val="1F497D" w:themeColor="text2"/>
          <w:sz w:val="24"/>
          <w:szCs w:val="32"/>
        </w:rPr>
      </w:pPr>
    </w:p>
    <w:p w14:paraId="2C16C0E7" w14:textId="00B422F9" w:rsidR="00CE7CC7" w:rsidRPr="00CE7CC7" w:rsidRDefault="00F55DE1" w:rsidP="00F55DE1">
      <w:pPr>
        <w:shd w:val="clear" w:color="auto" w:fill="FFFFFF" w:themeFill="background1"/>
        <w:spacing w:after="0" w:line="240" w:lineRule="auto"/>
        <w:rPr>
          <w:b/>
          <w:color w:val="E36C0A" w:themeColor="accent6" w:themeShade="BF"/>
          <w:sz w:val="24"/>
          <w:szCs w:val="20"/>
        </w:rPr>
      </w:pPr>
      <w:r w:rsidRPr="00CE7CC7">
        <w:rPr>
          <w:b/>
          <w:color w:val="E36C0A" w:themeColor="accent6" w:themeShade="BF"/>
          <w:sz w:val="24"/>
          <w:szCs w:val="20"/>
        </w:rPr>
        <w:t xml:space="preserve">How </w:t>
      </w:r>
      <w:r w:rsidR="0074500C">
        <w:rPr>
          <w:b/>
          <w:color w:val="E36C0A" w:themeColor="accent6" w:themeShade="BF"/>
          <w:sz w:val="24"/>
          <w:szCs w:val="20"/>
        </w:rPr>
        <w:t>can</w:t>
      </w:r>
      <w:r w:rsidRPr="00CE7CC7">
        <w:rPr>
          <w:b/>
          <w:color w:val="E36C0A" w:themeColor="accent6" w:themeShade="BF"/>
          <w:sz w:val="24"/>
          <w:szCs w:val="20"/>
        </w:rPr>
        <w:t xml:space="preserve"> </w:t>
      </w:r>
      <w:r w:rsidR="0074500C" w:rsidRPr="00CE7CC7">
        <w:rPr>
          <w:b/>
          <w:color w:val="E36C0A" w:themeColor="accent6" w:themeShade="BF"/>
          <w:sz w:val="24"/>
          <w:szCs w:val="20"/>
        </w:rPr>
        <w:t>Perkins V Federal Grant Funds (400 and 401)</w:t>
      </w:r>
      <w:r w:rsidR="0074500C">
        <w:rPr>
          <w:b/>
          <w:color w:val="E36C0A" w:themeColor="accent6" w:themeShade="BF"/>
          <w:sz w:val="24"/>
          <w:szCs w:val="20"/>
        </w:rPr>
        <w:t xml:space="preserve"> be used to support</w:t>
      </w:r>
      <w:r w:rsidR="0074500C" w:rsidRPr="00CE7CC7">
        <w:rPr>
          <w:b/>
          <w:color w:val="E36C0A" w:themeColor="accent6" w:themeShade="BF"/>
          <w:sz w:val="24"/>
          <w:szCs w:val="20"/>
        </w:rPr>
        <w:t xml:space="preserve"> </w:t>
      </w:r>
      <w:r w:rsidRPr="00CE7CC7">
        <w:rPr>
          <w:b/>
          <w:color w:val="E36C0A" w:themeColor="accent6" w:themeShade="BF"/>
          <w:sz w:val="24"/>
          <w:szCs w:val="20"/>
        </w:rPr>
        <w:t>Innovati</w:t>
      </w:r>
      <w:r w:rsidR="005135B5" w:rsidRPr="00CE7CC7">
        <w:rPr>
          <w:b/>
          <w:color w:val="E36C0A" w:themeColor="accent6" w:themeShade="BF"/>
          <w:sz w:val="24"/>
          <w:szCs w:val="20"/>
        </w:rPr>
        <w:t>on</w:t>
      </w:r>
      <w:r w:rsidRPr="00CE7CC7">
        <w:rPr>
          <w:b/>
          <w:color w:val="E36C0A" w:themeColor="accent6" w:themeShade="BF"/>
          <w:sz w:val="24"/>
          <w:szCs w:val="20"/>
        </w:rPr>
        <w:t xml:space="preserve"> Pathways</w:t>
      </w:r>
      <w:r w:rsidR="0074500C">
        <w:rPr>
          <w:b/>
          <w:color w:val="E36C0A" w:themeColor="accent6" w:themeShade="BF"/>
          <w:sz w:val="24"/>
          <w:szCs w:val="20"/>
        </w:rPr>
        <w:t xml:space="preserve"> and </w:t>
      </w:r>
      <w:r w:rsidR="0074500C" w:rsidRPr="00CE7CC7">
        <w:rPr>
          <w:b/>
          <w:color w:val="E36C0A" w:themeColor="accent6" w:themeShade="BF"/>
          <w:sz w:val="24"/>
          <w:szCs w:val="20"/>
        </w:rPr>
        <w:t>Early College</w:t>
      </w:r>
      <w:r w:rsidR="0074500C">
        <w:rPr>
          <w:b/>
          <w:color w:val="E36C0A" w:themeColor="accent6" w:themeShade="BF"/>
          <w:sz w:val="24"/>
          <w:szCs w:val="20"/>
        </w:rPr>
        <w:t xml:space="preserve"> efforts</w:t>
      </w:r>
      <w:r w:rsidRPr="00CE7CC7">
        <w:rPr>
          <w:b/>
          <w:color w:val="E36C0A" w:themeColor="accent6" w:themeShade="BF"/>
          <w:sz w:val="24"/>
          <w:szCs w:val="20"/>
        </w:rPr>
        <w:t xml:space="preserve">? </w:t>
      </w:r>
    </w:p>
    <w:p w14:paraId="7326EADD" w14:textId="1B169A99" w:rsidR="004B0038" w:rsidRPr="005872F1" w:rsidRDefault="005872F1" w:rsidP="00311105">
      <w:pPr>
        <w:shd w:val="clear" w:color="auto" w:fill="FFFFFF" w:themeFill="background1"/>
        <w:spacing w:after="0" w:line="240" w:lineRule="auto"/>
        <w:rPr>
          <w:bCs/>
          <w:sz w:val="24"/>
          <w:szCs w:val="24"/>
        </w:rPr>
      </w:pPr>
      <w:r>
        <w:rPr>
          <w:bCs/>
          <w:sz w:val="24"/>
          <w:szCs w:val="24"/>
        </w:rPr>
        <w:t xml:space="preserve">Eligible grantees can expend Perkins funds on Perkins allowable costs for </w:t>
      </w:r>
      <w:r w:rsidRPr="00CE7CC7">
        <w:rPr>
          <w:bCs/>
          <w:sz w:val="24"/>
          <w:szCs w:val="24"/>
        </w:rPr>
        <w:t>High</w:t>
      </w:r>
      <w:r w:rsidR="009332A3">
        <w:rPr>
          <w:bCs/>
          <w:sz w:val="24"/>
          <w:szCs w:val="24"/>
        </w:rPr>
        <w:t xml:space="preserve"> </w:t>
      </w:r>
      <w:r w:rsidRPr="00CE7CC7">
        <w:rPr>
          <w:bCs/>
          <w:sz w:val="24"/>
          <w:szCs w:val="24"/>
        </w:rPr>
        <w:t>Quality College Career Pathways (HQCCP)</w:t>
      </w:r>
      <w:r>
        <w:rPr>
          <w:bCs/>
          <w:sz w:val="24"/>
          <w:szCs w:val="24"/>
        </w:rPr>
        <w:t xml:space="preserve"> programming. </w:t>
      </w:r>
      <w:r w:rsidR="00311105" w:rsidRPr="00CE7CC7">
        <w:rPr>
          <w:bCs/>
          <w:sz w:val="24"/>
          <w:szCs w:val="24"/>
        </w:rPr>
        <w:t>Massachusetts created a delivery</w:t>
      </w:r>
      <w:r w:rsidR="003B4A37">
        <w:rPr>
          <w:bCs/>
          <w:sz w:val="24"/>
          <w:szCs w:val="24"/>
        </w:rPr>
        <w:t xml:space="preserve"> path</w:t>
      </w:r>
      <w:r w:rsidR="00311105" w:rsidRPr="00CE7CC7">
        <w:rPr>
          <w:bCs/>
          <w:sz w:val="24"/>
          <w:szCs w:val="24"/>
        </w:rPr>
        <w:t xml:space="preserve"> for career development education and experiences under the umbrella of HQCCP, which includes Massachusetts vocational technical education programs under MA General Law Chapter 74, Innovation Pathways with a focus on sector occupations</w:t>
      </w:r>
      <w:r w:rsidR="00311105">
        <w:rPr>
          <w:bCs/>
          <w:sz w:val="24"/>
          <w:szCs w:val="24"/>
        </w:rPr>
        <w:t>,</w:t>
      </w:r>
      <w:r w:rsidR="00311105" w:rsidRPr="00CE7CC7">
        <w:rPr>
          <w:bCs/>
          <w:sz w:val="24"/>
          <w:szCs w:val="24"/>
        </w:rPr>
        <w:t xml:space="preserve"> and Early College Designated Programs</w:t>
      </w:r>
      <w:r w:rsidR="00311105" w:rsidRPr="004B0038">
        <w:rPr>
          <w:bCs/>
          <w:sz w:val="24"/>
          <w:szCs w:val="24"/>
        </w:rPr>
        <w:t>.</w:t>
      </w:r>
      <w:r w:rsidR="00474241">
        <w:rPr>
          <w:b/>
          <w:sz w:val="24"/>
          <w:szCs w:val="24"/>
        </w:rPr>
        <w:t xml:space="preserve"> </w:t>
      </w:r>
      <w:r w:rsidR="0074500C">
        <w:rPr>
          <w:bCs/>
          <w:sz w:val="24"/>
          <w:szCs w:val="24"/>
        </w:rPr>
        <w:t xml:space="preserve">HQCCP program goals, including closing gaps across all students and population groups, serve to meet some expectations of Perkins V Core Indicators. </w:t>
      </w:r>
    </w:p>
    <w:p w14:paraId="0CD6DC4B" w14:textId="77777777" w:rsidR="004B0038" w:rsidRDefault="004B0038" w:rsidP="00311105">
      <w:pPr>
        <w:shd w:val="clear" w:color="auto" w:fill="FFFFFF" w:themeFill="background1"/>
        <w:spacing w:after="0" w:line="240" w:lineRule="auto"/>
        <w:rPr>
          <w:bCs/>
          <w:sz w:val="24"/>
          <w:szCs w:val="24"/>
        </w:rPr>
      </w:pPr>
    </w:p>
    <w:tbl>
      <w:tblPr>
        <w:tblStyle w:val="MediumShading1-Accent1"/>
        <w:tblW w:w="10880" w:type="dxa"/>
        <w:tblLayout w:type="fixed"/>
        <w:tblLook w:val="04A0" w:firstRow="1" w:lastRow="0" w:firstColumn="1" w:lastColumn="0" w:noHBand="0" w:noVBand="1"/>
      </w:tblPr>
      <w:tblGrid>
        <w:gridCol w:w="1998"/>
        <w:gridCol w:w="8882"/>
      </w:tblGrid>
      <w:tr w:rsidR="009B0DE6" w:rsidRPr="0092051A" w14:paraId="208A0A06" w14:textId="77777777" w:rsidTr="00EF1F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8" w:type="dxa"/>
            <w:shd w:val="clear" w:color="auto" w:fill="1F497D" w:themeFill="text2"/>
          </w:tcPr>
          <w:p w14:paraId="241348B9" w14:textId="7A74FB83" w:rsidR="009B0DE6" w:rsidRPr="0092051A" w:rsidRDefault="009B0DE6" w:rsidP="009B0DE6">
            <w:pPr>
              <w:spacing w:before="40" w:after="40"/>
              <w:rPr>
                <w:sz w:val="24"/>
                <w:szCs w:val="24"/>
              </w:rPr>
            </w:pPr>
          </w:p>
        </w:tc>
        <w:tc>
          <w:tcPr>
            <w:tcW w:w="8882" w:type="dxa"/>
            <w:shd w:val="clear" w:color="auto" w:fill="1F497D" w:themeFill="text2"/>
          </w:tcPr>
          <w:p w14:paraId="42C1D15F" w14:textId="237D9B05" w:rsidR="009B0DE6" w:rsidRPr="0092051A" w:rsidRDefault="009B0DE6" w:rsidP="00F55DE1">
            <w:pPr>
              <w:spacing w:before="40" w:after="40"/>
              <w:cnfStyle w:val="100000000000" w:firstRow="1" w:lastRow="0" w:firstColumn="0" w:lastColumn="0" w:oddVBand="0" w:evenVBand="0" w:oddHBand="0" w:evenHBand="0" w:firstRowFirstColumn="0" w:firstRowLastColumn="0" w:lastRowFirstColumn="0" w:lastRowLastColumn="0"/>
              <w:rPr>
                <w:sz w:val="24"/>
                <w:szCs w:val="24"/>
              </w:rPr>
            </w:pPr>
          </w:p>
        </w:tc>
      </w:tr>
    </w:tbl>
    <w:p w14:paraId="570E203F" w14:textId="06495348" w:rsidR="009B0DE6" w:rsidRDefault="00460FF8" w:rsidP="00D23EBF">
      <w:pPr>
        <w:shd w:val="clear" w:color="auto" w:fill="FFFFFF" w:themeFill="background1"/>
        <w:spacing w:after="0" w:line="240" w:lineRule="auto"/>
        <w:rPr>
          <w:b/>
          <w:color w:val="1F497D" w:themeColor="text2"/>
          <w:sz w:val="24"/>
          <w:szCs w:val="20"/>
        </w:rPr>
      </w:pPr>
      <w:r>
        <w:rPr>
          <w:noProof/>
          <w:sz w:val="36"/>
          <w:szCs w:val="36"/>
        </w:rPr>
        <mc:AlternateContent>
          <mc:Choice Requires="wps">
            <w:drawing>
              <wp:anchor distT="0" distB="0" distL="114300" distR="114300" simplePos="0" relativeHeight="251665920" behindDoc="0" locked="0" layoutInCell="1" allowOverlap="1" wp14:anchorId="495453E0" wp14:editId="39178A70">
                <wp:simplePos x="0" y="0"/>
                <wp:positionH relativeFrom="margin">
                  <wp:align>left</wp:align>
                </wp:positionH>
                <wp:positionV relativeFrom="paragraph">
                  <wp:posOffset>99060</wp:posOffset>
                </wp:positionV>
                <wp:extent cx="6883400" cy="1352550"/>
                <wp:effectExtent l="38100" t="38100" r="107950" b="114300"/>
                <wp:wrapNone/>
                <wp:docPr id="7"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1352550"/>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3D0E1F71" w14:textId="77777777" w:rsidR="00CE7CC7" w:rsidRDefault="002B3E2E" w:rsidP="008C5A4E">
                            <w:pPr>
                              <w:spacing w:after="0" w:line="240" w:lineRule="auto"/>
                              <w:rPr>
                                <w:b/>
                                <w:color w:val="1F497D" w:themeColor="text2"/>
                                <w:sz w:val="24"/>
                                <w:szCs w:val="28"/>
                              </w:rPr>
                            </w:pPr>
                            <w:r>
                              <w:rPr>
                                <w:b/>
                                <w:color w:val="1F497D" w:themeColor="text2"/>
                                <w:sz w:val="24"/>
                                <w:szCs w:val="28"/>
                              </w:rPr>
                              <w:t>STRENGTHENING CAREER AND TECHNICAL EDUCATION FOR THE 21</w:t>
                            </w:r>
                            <w:r w:rsidRPr="002B3E2E">
                              <w:rPr>
                                <w:b/>
                                <w:color w:val="1F497D" w:themeColor="text2"/>
                                <w:sz w:val="24"/>
                                <w:szCs w:val="28"/>
                                <w:vertAlign w:val="superscript"/>
                              </w:rPr>
                              <w:t>ST</w:t>
                            </w:r>
                            <w:r>
                              <w:rPr>
                                <w:b/>
                                <w:color w:val="1F497D" w:themeColor="text2"/>
                                <w:sz w:val="24"/>
                                <w:szCs w:val="28"/>
                              </w:rPr>
                              <w:t xml:space="preserve"> CENTURY ACT (PERKINS V)</w:t>
                            </w:r>
                            <w:r w:rsidR="00CE7CC7">
                              <w:rPr>
                                <w:b/>
                                <w:color w:val="1F497D" w:themeColor="text2"/>
                                <w:sz w:val="24"/>
                                <w:szCs w:val="28"/>
                              </w:rPr>
                              <w:t xml:space="preserve">              </w:t>
                            </w:r>
                          </w:p>
                          <w:p w14:paraId="67E72F4B" w14:textId="23DAD53C" w:rsidR="00C935A3" w:rsidRPr="00CE7CC7" w:rsidRDefault="00C935A3" w:rsidP="008C5A4E">
                            <w:pPr>
                              <w:spacing w:after="0" w:line="240" w:lineRule="auto"/>
                              <w:rPr>
                                <w:b/>
                                <w:color w:val="1F497D" w:themeColor="text2"/>
                                <w:sz w:val="24"/>
                                <w:szCs w:val="28"/>
                              </w:rPr>
                            </w:pPr>
                            <w:r w:rsidRPr="00881562">
                              <w:rPr>
                                <w:rFonts w:eastAsia="Times New Roman" w:cstheme="minorHAnsi"/>
                              </w:rPr>
                              <w:t xml:space="preserve">The Strengthening Career and Technical Education for the 21st Century Act (Perkins V) represents an important opportunity to expand opportunities for every student to explore, choose, and follow career and technical education programs of study and career pathways to earn credentials of value. The purpose of the Perkins V grant is to assist school districts and public two-year colleges in improving secondary and postsecondary-level career and technical education programs. As set forth in Perkins, the main priority is to close the achievement gap for special populations on the </w:t>
                            </w:r>
                            <w:hyperlink r:id="rId13" w:history="1">
                              <w:r w:rsidRPr="00252B2B">
                                <w:rPr>
                                  <w:rStyle w:val="Hyperlink"/>
                                  <w:rFonts w:eastAsia="Times New Roman" w:cstheme="minorHAnsi"/>
                                </w:rPr>
                                <w:t>Perkins core indicators of performance</w:t>
                              </w:r>
                            </w:hyperlink>
                            <w:r w:rsidRPr="00881562">
                              <w:rPr>
                                <w:rFonts w:eastAsia="Times New Roman" w:cstheme="minorHAnsi"/>
                              </w:rPr>
                              <w:t>.</w:t>
                            </w:r>
                            <w:r w:rsidR="002B3E2E" w:rsidRPr="006B2ABE">
                              <w:rPr>
                                <w:rFonts w:eastAsia="Times New Roman" w:cstheme="minorHAnsi"/>
                              </w:rPr>
                              <w:t xml:space="preserve"> </w:t>
                            </w:r>
                          </w:p>
                          <w:p w14:paraId="2B0E3015" w14:textId="77777777" w:rsidR="00C935A3" w:rsidRDefault="00C935A3" w:rsidP="00C935A3">
                            <w:pPr>
                              <w:spacing w:line="240" w:lineRule="auto"/>
                              <w:rPr>
                                <w:rFonts w:eastAsia="Times New Roman" w:cstheme="minorHAnsi"/>
                                <w:sz w:val="20"/>
                                <w:szCs w:val="20"/>
                              </w:rPr>
                            </w:pPr>
                          </w:p>
                          <w:p w14:paraId="3AA3C1B4" w14:textId="5A575551" w:rsidR="009B0DE6" w:rsidRPr="00BD1A2F" w:rsidRDefault="009B0DE6" w:rsidP="00881562">
                            <w:pPr>
                              <w:spacing w:line="240" w:lineRule="auto"/>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453E0" id="_x0000_t202" coordsize="21600,21600" o:spt="202" path="m,l,21600r21600,l21600,xe">
                <v:stroke joinstyle="miter"/>
                <v:path gradientshapeok="t" o:connecttype="rect"/>
              </v:shapetype>
              <v:shape id="Text Box 16" o:spid="_x0000_s1026" type="#_x0000_t202" style="position:absolute;margin-left:0;margin-top:7.8pt;width:542pt;height:106.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" strokecolor="#365f91 [2404]" strokeweight=".25pt">
                <v:shadow on="t" color="black" opacity="26214f" origin="-.5,-.5" offset=".74836mm,.74836mm"/>
                <v:textbox>
                  <w:txbxContent>
                    <w:p w14:paraId="3D0E1F71" w14:textId="77777777" w:rsidR="00CE7CC7" w:rsidRDefault="002B3E2E" w:rsidP="008C5A4E">
                      <w:pPr>
                        <w:spacing w:after="0" w:line="240" w:lineRule="auto"/>
                        <w:rPr>
                          <w:b/>
                          <w:color w:val="1F497D" w:themeColor="text2"/>
                          <w:sz w:val="24"/>
                          <w:szCs w:val="28"/>
                        </w:rPr>
                      </w:pPr>
                      <w:r>
                        <w:rPr>
                          <w:b/>
                          <w:color w:val="1F497D" w:themeColor="text2"/>
                          <w:sz w:val="24"/>
                          <w:szCs w:val="28"/>
                        </w:rPr>
                        <w:t>STRENGTHENING CAREER AND TECHNICAL EDUCATION FOR THE 21</w:t>
                      </w:r>
                      <w:r w:rsidRPr="002B3E2E">
                        <w:rPr>
                          <w:b/>
                          <w:color w:val="1F497D" w:themeColor="text2"/>
                          <w:sz w:val="24"/>
                          <w:szCs w:val="28"/>
                          <w:vertAlign w:val="superscript"/>
                        </w:rPr>
                        <w:t>ST</w:t>
                      </w:r>
                      <w:r>
                        <w:rPr>
                          <w:b/>
                          <w:color w:val="1F497D" w:themeColor="text2"/>
                          <w:sz w:val="24"/>
                          <w:szCs w:val="28"/>
                        </w:rPr>
                        <w:t xml:space="preserve"> CENTURY ACT (PERKINS V)</w:t>
                      </w:r>
                      <w:r w:rsidR="00CE7CC7">
                        <w:rPr>
                          <w:b/>
                          <w:color w:val="1F497D" w:themeColor="text2"/>
                          <w:sz w:val="24"/>
                          <w:szCs w:val="28"/>
                        </w:rPr>
                        <w:t xml:space="preserve">              </w:t>
                      </w:r>
                    </w:p>
                    <w:p w14:paraId="67E72F4B" w14:textId="23DAD53C" w:rsidR="00C935A3" w:rsidRPr="00CE7CC7" w:rsidRDefault="00C935A3" w:rsidP="008C5A4E">
                      <w:pPr>
                        <w:spacing w:after="0" w:line="240" w:lineRule="auto"/>
                        <w:rPr>
                          <w:b/>
                          <w:color w:val="1F497D" w:themeColor="text2"/>
                          <w:sz w:val="24"/>
                          <w:szCs w:val="28"/>
                        </w:rPr>
                      </w:pPr>
                      <w:r w:rsidRPr="00881562">
                        <w:rPr>
                          <w:rFonts w:eastAsia="Times New Roman" w:cstheme="minorHAnsi"/>
                        </w:rPr>
                        <w:t xml:space="preserve">The Strengthening Career and Technical Education for the 21st Century Act (Perkins V) represents an important opportunity to expand opportunities for every student to explore, choose, and follow career and technical education programs of study and career pathways to earn credentials of value. The purpose of the Perkins V grant is to assist school districts and public two-year colleges in improving secondary and postsecondary-level career and technical education programs. As set forth in Perkins, the main priority is to close the achievement gap for special populations on the </w:t>
                      </w:r>
                      <w:hyperlink r:id="rId14" w:history="1">
                        <w:r w:rsidRPr="00252B2B">
                          <w:rPr>
                            <w:rStyle w:val="Hyperlink"/>
                            <w:rFonts w:eastAsia="Times New Roman" w:cstheme="minorHAnsi"/>
                          </w:rPr>
                          <w:t>Perkins core indicators of performance</w:t>
                        </w:r>
                      </w:hyperlink>
                      <w:r w:rsidRPr="00881562">
                        <w:rPr>
                          <w:rFonts w:eastAsia="Times New Roman" w:cstheme="minorHAnsi"/>
                        </w:rPr>
                        <w:t>.</w:t>
                      </w:r>
                      <w:r w:rsidR="002B3E2E" w:rsidRPr="006B2ABE">
                        <w:rPr>
                          <w:rFonts w:eastAsia="Times New Roman" w:cstheme="minorHAnsi"/>
                        </w:rPr>
                        <w:t xml:space="preserve"> </w:t>
                      </w:r>
                    </w:p>
                    <w:p w14:paraId="2B0E3015" w14:textId="77777777" w:rsidR="00C935A3" w:rsidRDefault="00C935A3" w:rsidP="00C935A3">
                      <w:pPr>
                        <w:spacing w:line="240" w:lineRule="auto"/>
                        <w:rPr>
                          <w:rFonts w:eastAsia="Times New Roman" w:cstheme="minorHAnsi"/>
                          <w:sz w:val="20"/>
                          <w:szCs w:val="20"/>
                        </w:rPr>
                      </w:pPr>
                    </w:p>
                    <w:p w14:paraId="3AA3C1B4" w14:textId="5A575551" w:rsidR="009B0DE6" w:rsidRPr="00BD1A2F" w:rsidRDefault="009B0DE6" w:rsidP="00881562">
                      <w:pPr>
                        <w:spacing w:line="240" w:lineRule="auto"/>
                        <w:rPr>
                          <w:sz w:val="20"/>
                        </w:rPr>
                      </w:pPr>
                    </w:p>
                  </w:txbxContent>
                </v:textbox>
                <w10:wrap anchorx="margin"/>
              </v:shape>
            </w:pict>
          </mc:Fallback>
        </mc:AlternateContent>
      </w:r>
    </w:p>
    <w:p w14:paraId="097F6F66" w14:textId="5F4AC25B" w:rsidR="00F55DE1" w:rsidRDefault="00F55DE1" w:rsidP="00D23EBF">
      <w:pPr>
        <w:shd w:val="clear" w:color="auto" w:fill="FFFFFF" w:themeFill="background1"/>
        <w:spacing w:after="0" w:line="240" w:lineRule="auto"/>
        <w:rPr>
          <w:b/>
          <w:color w:val="1F497D" w:themeColor="text2"/>
          <w:sz w:val="24"/>
          <w:szCs w:val="20"/>
        </w:rPr>
      </w:pPr>
    </w:p>
    <w:p w14:paraId="2CAB0742" w14:textId="74CA5D41" w:rsidR="009B0DE6" w:rsidRDefault="009B0DE6" w:rsidP="00D23EBF">
      <w:pPr>
        <w:shd w:val="clear" w:color="auto" w:fill="FFFFFF" w:themeFill="background1"/>
        <w:spacing w:after="0" w:line="240" w:lineRule="auto"/>
        <w:rPr>
          <w:b/>
          <w:color w:val="1F497D" w:themeColor="text2"/>
          <w:sz w:val="24"/>
          <w:szCs w:val="20"/>
        </w:rPr>
      </w:pPr>
    </w:p>
    <w:p w14:paraId="612FB443" w14:textId="13945EC1" w:rsidR="009B0DE6" w:rsidRDefault="009B0DE6" w:rsidP="00D23EBF">
      <w:pPr>
        <w:shd w:val="clear" w:color="auto" w:fill="FFFFFF" w:themeFill="background1"/>
        <w:spacing w:after="0" w:line="240" w:lineRule="auto"/>
        <w:rPr>
          <w:b/>
          <w:color w:val="1F497D" w:themeColor="text2"/>
          <w:sz w:val="24"/>
          <w:szCs w:val="20"/>
        </w:rPr>
      </w:pPr>
    </w:p>
    <w:p w14:paraId="2BA5F219" w14:textId="08DAAA44" w:rsidR="009B0DE6" w:rsidRDefault="009B0DE6" w:rsidP="00D23EBF">
      <w:pPr>
        <w:shd w:val="clear" w:color="auto" w:fill="FFFFFF" w:themeFill="background1"/>
        <w:spacing w:after="0" w:line="240" w:lineRule="auto"/>
        <w:rPr>
          <w:b/>
          <w:color w:val="1F497D" w:themeColor="text2"/>
          <w:sz w:val="24"/>
          <w:szCs w:val="20"/>
        </w:rPr>
      </w:pPr>
    </w:p>
    <w:p w14:paraId="3C8037A2" w14:textId="16F8DE24" w:rsidR="009B0DE6" w:rsidRDefault="009B0DE6" w:rsidP="00D23EBF">
      <w:pPr>
        <w:shd w:val="clear" w:color="auto" w:fill="FFFFFF" w:themeFill="background1"/>
        <w:spacing w:after="0" w:line="240" w:lineRule="auto"/>
        <w:rPr>
          <w:b/>
          <w:color w:val="1F497D" w:themeColor="text2"/>
          <w:sz w:val="24"/>
          <w:szCs w:val="20"/>
        </w:rPr>
      </w:pPr>
    </w:p>
    <w:p w14:paraId="289068DA" w14:textId="791815C9" w:rsidR="009B0DE6" w:rsidRDefault="009B0DE6" w:rsidP="00D23EBF">
      <w:pPr>
        <w:shd w:val="clear" w:color="auto" w:fill="FFFFFF" w:themeFill="background1"/>
        <w:spacing w:after="0" w:line="240" w:lineRule="auto"/>
        <w:rPr>
          <w:b/>
          <w:color w:val="1F497D" w:themeColor="text2"/>
          <w:sz w:val="24"/>
          <w:szCs w:val="20"/>
        </w:rPr>
      </w:pPr>
    </w:p>
    <w:p w14:paraId="2AD946B8" w14:textId="31E5F9A4" w:rsidR="009B0DE6" w:rsidRDefault="009B0DE6" w:rsidP="00D23EBF">
      <w:pPr>
        <w:shd w:val="clear" w:color="auto" w:fill="FFFFFF" w:themeFill="background1"/>
        <w:spacing w:after="0" w:line="240" w:lineRule="auto"/>
        <w:rPr>
          <w:b/>
          <w:color w:val="1F497D" w:themeColor="text2"/>
          <w:sz w:val="24"/>
          <w:szCs w:val="20"/>
        </w:rPr>
      </w:pPr>
    </w:p>
    <w:p w14:paraId="7F510BD3" w14:textId="693F4DA7" w:rsidR="00D23EBF" w:rsidRDefault="004B0038" w:rsidP="00D23EBF">
      <w:pPr>
        <w:shd w:val="clear" w:color="auto" w:fill="FFFFFF" w:themeFill="background1"/>
        <w:spacing w:after="0" w:line="240" w:lineRule="auto"/>
        <w:rPr>
          <w:b/>
          <w:color w:val="1F497D" w:themeColor="text2"/>
          <w:sz w:val="24"/>
          <w:szCs w:val="20"/>
        </w:rPr>
      </w:pPr>
      <w:r>
        <w:rPr>
          <w:noProof/>
          <w:sz w:val="36"/>
          <w:szCs w:val="36"/>
        </w:rPr>
        <mc:AlternateContent>
          <mc:Choice Requires="wps">
            <w:drawing>
              <wp:anchor distT="0" distB="0" distL="114300" distR="114300" simplePos="0" relativeHeight="251663872" behindDoc="0" locked="0" layoutInCell="1" allowOverlap="1" wp14:anchorId="015D5420" wp14:editId="1D21EE34">
                <wp:simplePos x="0" y="0"/>
                <wp:positionH relativeFrom="margin">
                  <wp:posOffset>3644102</wp:posOffset>
                </wp:positionH>
                <wp:positionV relativeFrom="paragraph">
                  <wp:posOffset>137795</wp:posOffset>
                </wp:positionV>
                <wp:extent cx="3284522" cy="1682058"/>
                <wp:effectExtent l="38100" t="38100" r="106680" b="109220"/>
                <wp:wrapNone/>
                <wp:docPr id="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2" cy="1682058"/>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44541AD8" w14:textId="6FE2F25A" w:rsidR="009B0DE6" w:rsidRPr="00596C87" w:rsidRDefault="009B0DE6" w:rsidP="008C5A4E">
                            <w:pPr>
                              <w:spacing w:after="0" w:line="240" w:lineRule="auto"/>
                              <w:rPr>
                                <w:b/>
                                <w:color w:val="1F497D" w:themeColor="text2"/>
                                <w:sz w:val="24"/>
                                <w:szCs w:val="28"/>
                              </w:rPr>
                            </w:pPr>
                            <w:r>
                              <w:rPr>
                                <w:b/>
                                <w:color w:val="1F497D" w:themeColor="text2"/>
                                <w:sz w:val="24"/>
                                <w:szCs w:val="28"/>
                              </w:rPr>
                              <w:t>INNOVATI</w:t>
                            </w:r>
                            <w:r w:rsidR="005135B5">
                              <w:rPr>
                                <w:b/>
                                <w:color w:val="1F497D" w:themeColor="text2"/>
                                <w:sz w:val="24"/>
                                <w:szCs w:val="28"/>
                              </w:rPr>
                              <w:t>ON</w:t>
                            </w:r>
                            <w:r>
                              <w:rPr>
                                <w:b/>
                                <w:color w:val="1F497D" w:themeColor="text2"/>
                                <w:sz w:val="24"/>
                                <w:szCs w:val="28"/>
                              </w:rPr>
                              <w:t xml:space="preserve"> PATHWAYS</w:t>
                            </w:r>
                          </w:p>
                          <w:p w14:paraId="6996AF1A" w14:textId="739E651D" w:rsidR="009B0DE6" w:rsidRPr="006B2ABE" w:rsidRDefault="00DE3564" w:rsidP="008C5A4E">
                            <w:pPr>
                              <w:spacing w:after="0" w:line="240" w:lineRule="auto"/>
                              <w:rPr>
                                <w:szCs w:val="24"/>
                              </w:rPr>
                            </w:pPr>
                            <w:r w:rsidRPr="006B2ABE">
                              <w:rPr>
                                <w:bCs/>
                                <w:szCs w:val="24"/>
                              </w:rPr>
                              <w:t xml:space="preserve">The </w:t>
                            </w:r>
                            <w:hyperlink r:id="rId15" w:history="1">
                              <w:r w:rsidRPr="006B2ABE">
                                <w:rPr>
                                  <w:rStyle w:val="Hyperlink"/>
                                  <w:rFonts w:cstheme="minorBidi"/>
                                  <w:bCs/>
                                  <w:szCs w:val="24"/>
                                </w:rPr>
                                <w:t>Innovation Pathway</w:t>
                              </w:r>
                            </w:hyperlink>
                            <w:r w:rsidRPr="006B2ABE">
                              <w:rPr>
                                <w:bCs/>
                                <w:szCs w:val="24"/>
                              </w:rPr>
                              <w:t xml:space="preserve"> Designation reflects a design to connect student learning to a </w:t>
                            </w:r>
                            <w:r w:rsidR="00023B59" w:rsidRPr="006B2ABE">
                              <w:rPr>
                                <w:bCs/>
                                <w:szCs w:val="24"/>
                              </w:rPr>
                              <w:t>broadly defined</w:t>
                            </w:r>
                            <w:r w:rsidRPr="006B2ABE">
                              <w:rPr>
                                <w:bCs/>
                                <w:szCs w:val="24"/>
                              </w:rPr>
                              <w:t xml:space="preserve"> industry sector that is in demand in the regional and state economy. Participation in this kind of pathway, the hallmark of which is a 100-hour internship or capstone, can lead students to opportunities for meaningful careers in that industry sector and prepare </w:t>
                            </w:r>
                            <w:r w:rsidR="007C205F">
                              <w:rPr>
                                <w:bCs/>
                                <w:szCs w:val="24"/>
                              </w:rPr>
                              <w:t xml:space="preserve">them </w:t>
                            </w:r>
                            <w:r w:rsidRPr="006B2ABE">
                              <w:rPr>
                                <w:bCs/>
                                <w:szCs w:val="24"/>
                              </w:rPr>
                              <w:t xml:space="preserve">for postsecondary education and training.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D5420" id="_x0000_s1027" type="#_x0000_t202" style="position:absolute;margin-left:286.95pt;margin-top:10.85pt;width:258.6pt;height:132.4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" strokecolor="#365f91 [2404]" strokeweight=".25pt">
                <v:shadow on="t" color="black" opacity="26214f" origin="-.5,-.5" offset=".74836mm,.74836mm"/>
                <v:textbox>
                  <w:txbxContent>
                    <w:p w14:paraId="44541AD8" w14:textId="6FE2F25A" w:rsidR="009B0DE6" w:rsidRPr="00596C87" w:rsidRDefault="009B0DE6" w:rsidP="008C5A4E">
                      <w:pPr>
                        <w:spacing w:after="0" w:line="240" w:lineRule="auto"/>
                        <w:rPr>
                          <w:b/>
                          <w:color w:val="1F497D" w:themeColor="text2"/>
                          <w:sz w:val="24"/>
                          <w:szCs w:val="28"/>
                        </w:rPr>
                      </w:pPr>
                      <w:r>
                        <w:rPr>
                          <w:b/>
                          <w:color w:val="1F497D" w:themeColor="text2"/>
                          <w:sz w:val="24"/>
                          <w:szCs w:val="28"/>
                        </w:rPr>
                        <w:t>INNOVATI</w:t>
                      </w:r>
                      <w:r w:rsidR="005135B5">
                        <w:rPr>
                          <w:b/>
                          <w:color w:val="1F497D" w:themeColor="text2"/>
                          <w:sz w:val="24"/>
                          <w:szCs w:val="28"/>
                        </w:rPr>
                        <w:t>ON</w:t>
                      </w:r>
                      <w:r>
                        <w:rPr>
                          <w:b/>
                          <w:color w:val="1F497D" w:themeColor="text2"/>
                          <w:sz w:val="24"/>
                          <w:szCs w:val="28"/>
                        </w:rPr>
                        <w:t xml:space="preserve"> PATHWAYS</w:t>
                      </w:r>
                    </w:p>
                    <w:p w14:paraId="6996AF1A" w14:textId="739E651D" w:rsidR="009B0DE6" w:rsidRPr="006B2ABE" w:rsidRDefault="00DE3564" w:rsidP="008C5A4E">
                      <w:pPr>
                        <w:spacing w:after="0" w:line="240" w:lineRule="auto"/>
                        <w:rPr>
                          <w:szCs w:val="24"/>
                        </w:rPr>
                      </w:pPr>
                      <w:r w:rsidRPr="006B2ABE">
                        <w:rPr>
                          <w:bCs/>
                          <w:szCs w:val="24"/>
                        </w:rPr>
                        <w:t xml:space="preserve">The </w:t>
                      </w:r>
                      <w:hyperlink r:id="rId16" w:history="1">
                        <w:r w:rsidRPr="006B2ABE">
                          <w:rPr>
                            <w:rStyle w:val="Hyperlink"/>
                            <w:rFonts w:cstheme="minorBidi"/>
                            <w:bCs/>
                            <w:szCs w:val="24"/>
                          </w:rPr>
                          <w:t>Innovation Pathway</w:t>
                        </w:r>
                      </w:hyperlink>
                      <w:r w:rsidRPr="006B2ABE">
                        <w:rPr>
                          <w:bCs/>
                          <w:szCs w:val="24"/>
                        </w:rPr>
                        <w:t xml:space="preserve"> Designation reflects a design to connect student learning to a </w:t>
                      </w:r>
                      <w:r w:rsidR="00023B59" w:rsidRPr="006B2ABE">
                        <w:rPr>
                          <w:bCs/>
                          <w:szCs w:val="24"/>
                        </w:rPr>
                        <w:t>broadly defined</w:t>
                      </w:r>
                      <w:r w:rsidRPr="006B2ABE">
                        <w:rPr>
                          <w:bCs/>
                          <w:szCs w:val="24"/>
                        </w:rPr>
                        <w:t xml:space="preserve"> industry sector that is in demand in the regional and state economy. Participation in this kind of pathway, the hallmark of which is a 100-hour internship or capstone, can lead students to opportunities for meaningful careers in that industry sector and prepare </w:t>
                      </w:r>
                      <w:r w:rsidR="007C205F">
                        <w:rPr>
                          <w:bCs/>
                          <w:szCs w:val="24"/>
                        </w:rPr>
                        <w:t xml:space="preserve">them </w:t>
                      </w:r>
                      <w:r w:rsidRPr="006B2ABE">
                        <w:rPr>
                          <w:bCs/>
                          <w:szCs w:val="24"/>
                        </w:rPr>
                        <w:t xml:space="preserve">for postsecondary education and training.  </w:t>
                      </w:r>
                    </w:p>
                  </w:txbxContent>
                </v:textbox>
                <w10:wrap anchorx="margin"/>
              </v:shape>
            </w:pict>
          </mc:Fallback>
        </mc:AlternateContent>
      </w:r>
      <w:r>
        <w:rPr>
          <w:noProof/>
          <w:sz w:val="36"/>
          <w:szCs w:val="36"/>
        </w:rPr>
        <mc:AlternateContent>
          <mc:Choice Requires="wps">
            <w:drawing>
              <wp:anchor distT="0" distB="0" distL="114300" distR="114300" simplePos="0" relativeHeight="251661824" behindDoc="0" locked="0" layoutInCell="1" allowOverlap="1" wp14:anchorId="431123CE" wp14:editId="123C61A2">
                <wp:simplePos x="0" y="0"/>
                <wp:positionH relativeFrom="margin">
                  <wp:align>left</wp:align>
                </wp:positionH>
                <wp:positionV relativeFrom="paragraph">
                  <wp:posOffset>135890</wp:posOffset>
                </wp:positionV>
                <wp:extent cx="3276600" cy="1663700"/>
                <wp:effectExtent l="38100" t="38100" r="114300" b="107950"/>
                <wp:wrapNone/>
                <wp:docPr id="4"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663700"/>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0F94F0F1" w14:textId="028C967F" w:rsidR="009B0DE6" w:rsidRPr="00073E2D" w:rsidRDefault="009B0DE6" w:rsidP="008C5A4E">
                            <w:pPr>
                              <w:spacing w:after="0" w:line="240" w:lineRule="auto"/>
                              <w:rPr>
                                <w:b/>
                                <w:color w:val="1F497D" w:themeColor="text2"/>
                                <w:sz w:val="24"/>
                                <w:szCs w:val="24"/>
                              </w:rPr>
                            </w:pPr>
                            <w:r w:rsidRPr="00073E2D">
                              <w:rPr>
                                <w:b/>
                                <w:color w:val="1F497D" w:themeColor="text2"/>
                                <w:sz w:val="24"/>
                                <w:szCs w:val="24"/>
                              </w:rPr>
                              <w:t>EARLY COLLEGE</w:t>
                            </w:r>
                            <w:r w:rsidR="00D158BC" w:rsidRPr="00073E2D">
                              <w:rPr>
                                <w:b/>
                                <w:color w:val="1F497D" w:themeColor="text2"/>
                                <w:sz w:val="24"/>
                                <w:szCs w:val="24"/>
                              </w:rPr>
                              <w:t xml:space="preserve"> DESIGNATION</w:t>
                            </w:r>
                          </w:p>
                          <w:p w14:paraId="0E64877C" w14:textId="4D003112" w:rsidR="00881562" w:rsidRPr="006B2ABE" w:rsidRDefault="0029663E" w:rsidP="008C5A4E">
                            <w:pPr>
                              <w:spacing w:after="0" w:line="240" w:lineRule="auto"/>
                              <w:rPr>
                                <w:rFonts w:eastAsia="Times New Roman" w:cstheme="minorHAnsi"/>
                              </w:rPr>
                            </w:pPr>
                            <w:hyperlink r:id="rId17" w:history="1">
                              <w:r w:rsidR="00073E2D" w:rsidRPr="006B2ABE">
                                <w:rPr>
                                  <w:rStyle w:val="Hyperlink"/>
                                  <w:rFonts w:eastAsia="Times New Roman" w:cstheme="minorHAnsi"/>
                                </w:rPr>
                                <w:t>Early College</w:t>
                              </w:r>
                            </w:hyperlink>
                            <w:r w:rsidR="00073E2D" w:rsidRPr="006B2ABE">
                              <w:rPr>
                                <w:rFonts w:eastAsia="Times New Roman" w:cstheme="minorHAnsi"/>
                              </w:rPr>
                              <w:t xml:space="preserve"> is a model that blends elements of high school and college to provide students with the opportunity to experience and complete college level academic coursework on a clearly articulated pathway while supported by their secondary school.  Massachusetts has established an early college designation to recognize high-quality implementation of early college models.</w:t>
                            </w:r>
                          </w:p>
                          <w:p w14:paraId="0A521879" w14:textId="41AE55EC" w:rsidR="00073E2D" w:rsidRPr="00073E2D" w:rsidRDefault="00073E2D" w:rsidP="00073E2D">
                            <w:pPr>
                              <w:spacing w:line="240" w:lineRule="auto"/>
                              <w:rPr>
                                <w:rFonts w:eastAsia="Times New Roman" w:cstheme="minorHAnsi"/>
                                <w:sz w:val="20"/>
                                <w:szCs w:val="20"/>
                              </w:rPr>
                            </w:pPr>
                            <w:r w:rsidRPr="00073E2D">
                              <w:rPr>
                                <w:rFonts w:eastAsia="Times New Roman" w:cstheme="minorHAnsi"/>
                                <w:sz w:val="20"/>
                                <w:szCs w:val="20"/>
                              </w:rPr>
                              <w:t xml:space="preserve">  </w:t>
                            </w:r>
                          </w:p>
                          <w:p w14:paraId="7CD630DE" w14:textId="1C715631" w:rsidR="009B0DE6" w:rsidRPr="00BD1A2F" w:rsidRDefault="009B0DE6" w:rsidP="009B0DE6">
                            <w:pPr>
                              <w:spacing w:line="240" w:lineRule="auto"/>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123CE" id="_x0000_s1028" type="#_x0000_t202" style="position:absolute;margin-left:0;margin-top:10.7pt;width:258pt;height:131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" strokecolor="#365f91 [2404]" strokeweight=".25pt">
                <v:shadow on="t" color="black" opacity="26214f" origin="-.5,-.5" offset=".74836mm,.74836mm"/>
                <v:textbox>
                  <w:txbxContent>
                    <w:p w14:paraId="0F94F0F1" w14:textId="028C967F" w:rsidR="009B0DE6" w:rsidRPr="00073E2D" w:rsidRDefault="009B0DE6" w:rsidP="008C5A4E">
                      <w:pPr>
                        <w:spacing w:after="0" w:line="240" w:lineRule="auto"/>
                        <w:rPr>
                          <w:b/>
                          <w:color w:val="1F497D" w:themeColor="text2"/>
                          <w:sz w:val="24"/>
                          <w:szCs w:val="24"/>
                        </w:rPr>
                      </w:pPr>
                      <w:r w:rsidRPr="00073E2D">
                        <w:rPr>
                          <w:b/>
                          <w:color w:val="1F497D" w:themeColor="text2"/>
                          <w:sz w:val="24"/>
                          <w:szCs w:val="24"/>
                        </w:rPr>
                        <w:t>EARLY COLLEGE</w:t>
                      </w:r>
                      <w:r w:rsidR="00D158BC" w:rsidRPr="00073E2D">
                        <w:rPr>
                          <w:b/>
                          <w:color w:val="1F497D" w:themeColor="text2"/>
                          <w:sz w:val="24"/>
                          <w:szCs w:val="24"/>
                        </w:rPr>
                        <w:t xml:space="preserve"> DESIGNATION</w:t>
                      </w:r>
                    </w:p>
                    <w:p w14:paraId="0E64877C" w14:textId="4D003112" w:rsidR="00881562" w:rsidRPr="006B2ABE" w:rsidRDefault="0029663E" w:rsidP="008C5A4E">
                      <w:pPr>
                        <w:spacing w:after="0" w:line="240" w:lineRule="auto"/>
                        <w:rPr>
                          <w:rFonts w:eastAsia="Times New Roman" w:cstheme="minorHAnsi"/>
                        </w:rPr>
                      </w:pPr>
                      <w:hyperlink r:id="rId18" w:history="1">
                        <w:r w:rsidR="00073E2D" w:rsidRPr="006B2ABE">
                          <w:rPr>
                            <w:rStyle w:val="Hyperlink"/>
                            <w:rFonts w:eastAsia="Times New Roman" w:cstheme="minorHAnsi"/>
                          </w:rPr>
                          <w:t>Early College</w:t>
                        </w:r>
                      </w:hyperlink>
                      <w:r w:rsidR="00073E2D" w:rsidRPr="006B2ABE">
                        <w:rPr>
                          <w:rFonts w:eastAsia="Times New Roman" w:cstheme="minorHAnsi"/>
                        </w:rPr>
                        <w:t xml:space="preserve"> is a model that blends elements of high school and college to provide students with the opportunity to experience and complete college level academic coursework on a clearly articulated pathway while supported by their secondary school.  Massachusetts has established an early college designation to recognize high-quality implementation of early college models.</w:t>
                      </w:r>
                    </w:p>
                    <w:p w14:paraId="0A521879" w14:textId="41AE55EC" w:rsidR="00073E2D" w:rsidRPr="00073E2D" w:rsidRDefault="00073E2D" w:rsidP="00073E2D">
                      <w:pPr>
                        <w:spacing w:line="240" w:lineRule="auto"/>
                        <w:rPr>
                          <w:rFonts w:eastAsia="Times New Roman" w:cstheme="minorHAnsi"/>
                          <w:sz w:val="20"/>
                          <w:szCs w:val="20"/>
                        </w:rPr>
                      </w:pPr>
                      <w:r w:rsidRPr="00073E2D">
                        <w:rPr>
                          <w:rFonts w:eastAsia="Times New Roman" w:cstheme="minorHAnsi"/>
                          <w:sz w:val="20"/>
                          <w:szCs w:val="20"/>
                        </w:rPr>
                        <w:t xml:space="preserve">  </w:t>
                      </w:r>
                    </w:p>
                    <w:p w14:paraId="7CD630DE" w14:textId="1C715631" w:rsidR="009B0DE6" w:rsidRPr="00BD1A2F" w:rsidRDefault="009B0DE6" w:rsidP="009B0DE6">
                      <w:pPr>
                        <w:spacing w:line="240" w:lineRule="auto"/>
                        <w:rPr>
                          <w:sz w:val="20"/>
                        </w:rPr>
                      </w:pPr>
                    </w:p>
                  </w:txbxContent>
                </v:textbox>
                <w10:wrap anchorx="margin"/>
              </v:shape>
            </w:pict>
          </mc:Fallback>
        </mc:AlternateContent>
      </w:r>
    </w:p>
    <w:p w14:paraId="7AEA0941" w14:textId="7D13520A" w:rsidR="009B0DE6" w:rsidRDefault="009B0DE6" w:rsidP="00D23EBF">
      <w:pPr>
        <w:shd w:val="clear" w:color="auto" w:fill="FFFFFF" w:themeFill="background1"/>
        <w:spacing w:after="0" w:line="240" w:lineRule="auto"/>
        <w:rPr>
          <w:b/>
          <w:color w:val="1F497D" w:themeColor="text2"/>
          <w:sz w:val="24"/>
          <w:szCs w:val="20"/>
        </w:rPr>
      </w:pPr>
    </w:p>
    <w:p w14:paraId="510E7E43" w14:textId="18F9FFE7" w:rsidR="009B0DE6" w:rsidRDefault="009B0DE6" w:rsidP="00D23EBF">
      <w:pPr>
        <w:shd w:val="clear" w:color="auto" w:fill="FFFFFF" w:themeFill="background1"/>
        <w:spacing w:after="0" w:line="240" w:lineRule="auto"/>
        <w:rPr>
          <w:b/>
          <w:color w:val="1F497D" w:themeColor="text2"/>
          <w:sz w:val="24"/>
          <w:szCs w:val="20"/>
        </w:rPr>
      </w:pPr>
    </w:p>
    <w:p w14:paraId="3307E859" w14:textId="644A7FF7" w:rsidR="009B0DE6" w:rsidRDefault="009B0DE6" w:rsidP="00D23EBF">
      <w:pPr>
        <w:shd w:val="clear" w:color="auto" w:fill="FFFFFF" w:themeFill="background1"/>
        <w:spacing w:after="0" w:line="240" w:lineRule="auto"/>
        <w:rPr>
          <w:b/>
          <w:color w:val="1F497D" w:themeColor="text2"/>
          <w:sz w:val="24"/>
          <w:szCs w:val="20"/>
        </w:rPr>
      </w:pPr>
    </w:p>
    <w:p w14:paraId="4390DD4F" w14:textId="375D6C93" w:rsidR="00DE3564" w:rsidRDefault="00DE3564" w:rsidP="00D23EBF">
      <w:pPr>
        <w:shd w:val="clear" w:color="auto" w:fill="FFFFFF" w:themeFill="background1"/>
        <w:spacing w:after="0" w:line="240" w:lineRule="auto"/>
        <w:rPr>
          <w:b/>
          <w:color w:val="1F497D" w:themeColor="text2"/>
          <w:sz w:val="24"/>
          <w:szCs w:val="20"/>
        </w:rPr>
      </w:pPr>
    </w:p>
    <w:p w14:paraId="6DE67B8B" w14:textId="2A43D28F" w:rsidR="00F55DE1" w:rsidRDefault="00F55DE1" w:rsidP="00D23EBF">
      <w:pPr>
        <w:shd w:val="clear" w:color="auto" w:fill="FFFFFF" w:themeFill="background1"/>
        <w:spacing w:after="0" w:line="240" w:lineRule="auto"/>
        <w:rPr>
          <w:b/>
          <w:color w:val="1F497D" w:themeColor="text2"/>
          <w:sz w:val="24"/>
          <w:szCs w:val="20"/>
        </w:rPr>
      </w:pPr>
    </w:p>
    <w:p w14:paraId="311FD943" w14:textId="41B3265F" w:rsidR="00F55DE1" w:rsidRDefault="00F55DE1" w:rsidP="00D23EBF">
      <w:pPr>
        <w:shd w:val="clear" w:color="auto" w:fill="FFFFFF" w:themeFill="background1"/>
        <w:spacing w:after="0" w:line="240" w:lineRule="auto"/>
        <w:rPr>
          <w:b/>
          <w:color w:val="1F497D" w:themeColor="text2"/>
          <w:sz w:val="24"/>
          <w:szCs w:val="20"/>
        </w:rPr>
      </w:pPr>
    </w:p>
    <w:p w14:paraId="5281A1C1" w14:textId="05EFBA00" w:rsidR="00F55DE1" w:rsidRDefault="00F55DE1" w:rsidP="00D23EBF">
      <w:pPr>
        <w:shd w:val="clear" w:color="auto" w:fill="FFFFFF" w:themeFill="background1"/>
        <w:spacing w:after="0" w:line="240" w:lineRule="auto"/>
        <w:rPr>
          <w:b/>
          <w:color w:val="1F497D" w:themeColor="text2"/>
          <w:sz w:val="24"/>
          <w:szCs w:val="20"/>
        </w:rPr>
      </w:pPr>
    </w:p>
    <w:p w14:paraId="4A8A966B" w14:textId="0BE3F05C" w:rsidR="00F55DE1" w:rsidRDefault="00F55DE1" w:rsidP="00D23EBF">
      <w:pPr>
        <w:shd w:val="clear" w:color="auto" w:fill="FFFFFF" w:themeFill="background1"/>
        <w:spacing w:after="0" w:line="240" w:lineRule="auto"/>
        <w:rPr>
          <w:b/>
          <w:color w:val="1F497D" w:themeColor="text2"/>
          <w:sz w:val="24"/>
          <w:szCs w:val="20"/>
        </w:rPr>
      </w:pPr>
    </w:p>
    <w:p w14:paraId="0580C133" w14:textId="60562B20" w:rsidR="00DE3564" w:rsidRDefault="00DE3564" w:rsidP="00D23EBF">
      <w:pPr>
        <w:shd w:val="clear" w:color="auto" w:fill="FFFFFF" w:themeFill="background1"/>
        <w:spacing w:after="0" w:line="240" w:lineRule="auto"/>
        <w:rPr>
          <w:b/>
          <w:color w:val="1F497D" w:themeColor="text2"/>
          <w:sz w:val="24"/>
          <w:szCs w:val="20"/>
        </w:rPr>
      </w:pPr>
    </w:p>
    <w:p w14:paraId="558E5F1D" w14:textId="69172D14" w:rsidR="00DE3564" w:rsidRDefault="004B0038" w:rsidP="00D23EBF">
      <w:pPr>
        <w:shd w:val="clear" w:color="auto" w:fill="FFFFFF" w:themeFill="background1"/>
        <w:spacing w:after="0" w:line="240" w:lineRule="auto"/>
        <w:rPr>
          <w:b/>
          <w:color w:val="1F497D" w:themeColor="text2"/>
          <w:sz w:val="24"/>
          <w:szCs w:val="20"/>
        </w:rPr>
      </w:pPr>
      <w:r>
        <w:rPr>
          <w:noProof/>
          <w:sz w:val="36"/>
          <w:szCs w:val="36"/>
        </w:rPr>
        <mc:AlternateContent>
          <mc:Choice Requires="wps">
            <w:drawing>
              <wp:anchor distT="0" distB="0" distL="114300" distR="114300" simplePos="0" relativeHeight="251670016" behindDoc="0" locked="0" layoutInCell="1" allowOverlap="1" wp14:anchorId="37043D31" wp14:editId="5D43BA38">
                <wp:simplePos x="0" y="0"/>
                <wp:positionH relativeFrom="margin">
                  <wp:posOffset>1079500</wp:posOffset>
                </wp:positionH>
                <wp:positionV relativeFrom="paragraph">
                  <wp:posOffset>105410</wp:posOffset>
                </wp:positionV>
                <wp:extent cx="4762500" cy="1247492"/>
                <wp:effectExtent l="38100" t="38100" r="114300" b="105410"/>
                <wp:wrapNone/>
                <wp:docPr id="1"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247492"/>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33F796BA" w14:textId="67FF702F" w:rsidR="00460FF8" w:rsidRDefault="00073E2D" w:rsidP="00460FF8">
                            <w:pPr>
                              <w:spacing w:after="0"/>
                              <w:rPr>
                                <w:b/>
                                <w:color w:val="1F497D" w:themeColor="text2"/>
                                <w:sz w:val="24"/>
                                <w:szCs w:val="24"/>
                              </w:rPr>
                            </w:pPr>
                            <w:bookmarkStart w:id="1" w:name="_Hlk37751199"/>
                            <w:r w:rsidRPr="00073E2D">
                              <w:rPr>
                                <w:b/>
                                <w:color w:val="1F497D" w:themeColor="text2"/>
                                <w:sz w:val="24"/>
                                <w:szCs w:val="24"/>
                              </w:rPr>
                              <w:t>DUAL ENROLLMEN</w:t>
                            </w:r>
                            <w:r w:rsidR="006F6B87">
                              <w:rPr>
                                <w:b/>
                                <w:color w:val="1F497D" w:themeColor="text2"/>
                                <w:sz w:val="24"/>
                                <w:szCs w:val="24"/>
                              </w:rPr>
                              <w:t>T</w:t>
                            </w:r>
                            <w:r w:rsidR="00D64513">
                              <w:rPr>
                                <w:b/>
                                <w:color w:val="1F497D" w:themeColor="text2"/>
                                <w:sz w:val="24"/>
                                <w:szCs w:val="24"/>
                              </w:rPr>
                              <w:t xml:space="preserve"> (NON-DESIGNATED</w:t>
                            </w:r>
                            <w:r w:rsidR="0074623F">
                              <w:rPr>
                                <w:b/>
                                <w:color w:val="1F497D" w:themeColor="text2"/>
                                <w:sz w:val="24"/>
                                <w:szCs w:val="24"/>
                              </w:rPr>
                              <w:t xml:space="preserve"> </w:t>
                            </w:r>
                            <w:r w:rsidR="00D64513">
                              <w:rPr>
                                <w:b/>
                                <w:color w:val="1F497D" w:themeColor="text2"/>
                                <w:sz w:val="24"/>
                                <w:szCs w:val="24"/>
                              </w:rPr>
                              <w:t>INTIATIVE</w:t>
                            </w:r>
                            <w:r w:rsidR="0074623F">
                              <w:rPr>
                                <w:b/>
                                <w:color w:val="1F497D" w:themeColor="text2"/>
                                <w:sz w:val="24"/>
                                <w:szCs w:val="24"/>
                              </w:rPr>
                              <w:t>S</w:t>
                            </w:r>
                            <w:r w:rsidR="00D64513">
                              <w:rPr>
                                <w:b/>
                                <w:color w:val="1F497D" w:themeColor="text2"/>
                                <w:sz w:val="24"/>
                                <w:szCs w:val="24"/>
                              </w:rPr>
                              <w:t>)</w:t>
                            </w:r>
                          </w:p>
                          <w:p w14:paraId="71A129C8" w14:textId="1AC5311C" w:rsidR="0044372A" w:rsidRPr="0074623F" w:rsidRDefault="0074623F" w:rsidP="00A61989">
                            <w:pPr>
                              <w:spacing w:after="0" w:line="240" w:lineRule="auto"/>
                            </w:pPr>
                            <w:r w:rsidRPr="0074623F">
                              <w:t xml:space="preserve">In addition to the Designated pathways highlighted through the HQCCP, there are additional dual enrollment opportunities including </w:t>
                            </w:r>
                            <w:r w:rsidRPr="0074623F">
                              <w:rPr>
                                <w:bCs/>
                              </w:rPr>
                              <w:t xml:space="preserve">programs like the </w:t>
                            </w:r>
                            <w:hyperlink r:id="rId19" w:history="1">
                              <w:r w:rsidRPr="0074623F">
                                <w:rPr>
                                  <w:rStyle w:val="Hyperlink"/>
                                  <w:rFonts w:cstheme="minorBidi"/>
                                </w:rPr>
                                <w:t>Commonwealth Dual Enrollment Partnership.</w:t>
                              </w:r>
                            </w:hyperlink>
                            <w:r>
                              <w:t xml:space="preserve"> </w:t>
                            </w:r>
                            <w:r w:rsidR="00460FF8" w:rsidRPr="0074623F">
                              <w:rPr>
                                <w:bCs/>
                              </w:rPr>
                              <w:t>Massachusetts law defines dual enrollment as high school student participation in a course that qualifies simultaneously for high school and college credit</w:t>
                            </w:r>
                            <w:r w:rsidR="00D64513" w:rsidRPr="0074623F">
                              <w:rPr>
                                <w:bCs/>
                              </w:rPr>
                              <w:t>.</w:t>
                            </w:r>
                            <w:r w:rsidR="00F15306" w:rsidRPr="0074623F">
                              <w:rPr>
                                <w:bCs/>
                              </w:rPr>
                              <w:t xml:space="preserve"> </w:t>
                            </w:r>
                          </w:p>
                          <w:bookmarkEnd w:id="1"/>
                          <w:p w14:paraId="3E4352EE" w14:textId="4ECCCE93" w:rsidR="00460FF8" w:rsidRPr="00460FF8" w:rsidRDefault="00460FF8" w:rsidP="00460FF8">
                            <w:pPr>
                              <w:spacing w:after="0"/>
                              <w:rPr>
                                <w:b/>
                                <w:color w:val="1F497D" w:themeColor="text2"/>
                                <w:sz w:val="24"/>
                                <w:szCs w:val="28"/>
                              </w:rPr>
                            </w:pPr>
                          </w:p>
                          <w:p w14:paraId="49844997" w14:textId="399FB083" w:rsidR="00073E2D" w:rsidRPr="00BD1A2F" w:rsidRDefault="00073E2D" w:rsidP="00460FF8">
                            <w:pPr>
                              <w:spacing w:line="240" w:lineRule="auto"/>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43D31" id="_x0000_s1029" type="#_x0000_t202" style="position:absolute;margin-left:85pt;margin-top:8.3pt;width:375pt;height:98.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" strokecolor="#365f91 [2404]" strokeweight=".25pt">
                <v:shadow on="t" color="black" opacity="26214f" origin="-.5,-.5" offset=".74836mm,.74836mm"/>
                <v:textbox>
                  <w:txbxContent>
                    <w:p w14:paraId="33F796BA" w14:textId="67FF702F" w:rsidR="00460FF8" w:rsidRDefault="00073E2D" w:rsidP="00460FF8">
                      <w:pPr>
                        <w:spacing w:after="0"/>
                        <w:rPr>
                          <w:b/>
                          <w:color w:val="1F497D" w:themeColor="text2"/>
                          <w:sz w:val="24"/>
                          <w:szCs w:val="24"/>
                        </w:rPr>
                      </w:pPr>
                      <w:bookmarkStart w:id="2" w:name="_Hlk37751199"/>
                      <w:r w:rsidRPr="00073E2D">
                        <w:rPr>
                          <w:b/>
                          <w:color w:val="1F497D" w:themeColor="text2"/>
                          <w:sz w:val="24"/>
                          <w:szCs w:val="24"/>
                        </w:rPr>
                        <w:t>DUAL ENROLLMEN</w:t>
                      </w:r>
                      <w:r w:rsidR="006F6B87">
                        <w:rPr>
                          <w:b/>
                          <w:color w:val="1F497D" w:themeColor="text2"/>
                          <w:sz w:val="24"/>
                          <w:szCs w:val="24"/>
                        </w:rPr>
                        <w:t>T</w:t>
                      </w:r>
                      <w:r w:rsidR="00D64513">
                        <w:rPr>
                          <w:b/>
                          <w:color w:val="1F497D" w:themeColor="text2"/>
                          <w:sz w:val="24"/>
                          <w:szCs w:val="24"/>
                        </w:rPr>
                        <w:t xml:space="preserve"> (NON-DESIGNATED</w:t>
                      </w:r>
                      <w:r w:rsidR="0074623F">
                        <w:rPr>
                          <w:b/>
                          <w:color w:val="1F497D" w:themeColor="text2"/>
                          <w:sz w:val="24"/>
                          <w:szCs w:val="24"/>
                        </w:rPr>
                        <w:t xml:space="preserve"> </w:t>
                      </w:r>
                      <w:r w:rsidR="00D64513">
                        <w:rPr>
                          <w:b/>
                          <w:color w:val="1F497D" w:themeColor="text2"/>
                          <w:sz w:val="24"/>
                          <w:szCs w:val="24"/>
                        </w:rPr>
                        <w:t>INTIATIVE</w:t>
                      </w:r>
                      <w:r w:rsidR="0074623F">
                        <w:rPr>
                          <w:b/>
                          <w:color w:val="1F497D" w:themeColor="text2"/>
                          <w:sz w:val="24"/>
                          <w:szCs w:val="24"/>
                        </w:rPr>
                        <w:t>S</w:t>
                      </w:r>
                      <w:r w:rsidR="00D64513">
                        <w:rPr>
                          <w:b/>
                          <w:color w:val="1F497D" w:themeColor="text2"/>
                          <w:sz w:val="24"/>
                          <w:szCs w:val="24"/>
                        </w:rPr>
                        <w:t>)</w:t>
                      </w:r>
                    </w:p>
                    <w:p w14:paraId="71A129C8" w14:textId="1AC5311C" w:rsidR="0044372A" w:rsidRPr="0074623F" w:rsidRDefault="0074623F" w:rsidP="00A61989">
                      <w:pPr>
                        <w:spacing w:after="0" w:line="240" w:lineRule="auto"/>
                      </w:pPr>
                      <w:r w:rsidRPr="0074623F">
                        <w:t xml:space="preserve">In addition to the Designated pathways highlighted through the HQCCP, there are additional dual enrollment opportunities including </w:t>
                      </w:r>
                      <w:r w:rsidRPr="0074623F">
                        <w:rPr>
                          <w:bCs/>
                        </w:rPr>
                        <w:t xml:space="preserve">programs like the </w:t>
                      </w:r>
                      <w:hyperlink r:id="rId20" w:history="1">
                        <w:r w:rsidRPr="0074623F">
                          <w:rPr>
                            <w:rStyle w:val="Hyperlink"/>
                            <w:rFonts w:cstheme="minorBidi"/>
                          </w:rPr>
                          <w:t>Commonwealth Dual Enrollment Partnership.</w:t>
                        </w:r>
                      </w:hyperlink>
                      <w:r>
                        <w:t xml:space="preserve"> </w:t>
                      </w:r>
                      <w:r w:rsidR="00460FF8" w:rsidRPr="0074623F">
                        <w:rPr>
                          <w:bCs/>
                        </w:rPr>
                        <w:t>Massachusetts law defines dual enrollment as high school student participation in a course that qualifies simultaneously for high school and college credit</w:t>
                      </w:r>
                      <w:r w:rsidR="00D64513" w:rsidRPr="0074623F">
                        <w:rPr>
                          <w:bCs/>
                        </w:rPr>
                        <w:t>.</w:t>
                      </w:r>
                      <w:r w:rsidR="00F15306" w:rsidRPr="0074623F">
                        <w:rPr>
                          <w:bCs/>
                        </w:rPr>
                        <w:t xml:space="preserve"> </w:t>
                      </w:r>
                    </w:p>
                    <w:bookmarkEnd w:id="2"/>
                    <w:p w14:paraId="3E4352EE" w14:textId="4ECCCE93" w:rsidR="00460FF8" w:rsidRPr="00460FF8" w:rsidRDefault="00460FF8" w:rsidP="00460FF8">
                      <w:pPr>
                        <w:spacing w:after="0"/>
                        <w:rPr>
                          <w:b/>
                          <w:color w:val="1F497D" w:themeColor="text2"/>
                          <w:sz w:val="24"/>
                          <w:szCs w:val="28"/>
                        </w:rPr>
                      </w:pPr>
                    </w:p>
                    <w:p w14:paraId="49844997" w14:textId="399FB083" w:rsidR="00073E2D" w:rsidRPr="00BD1A2F" w:rsidRDefault="00073E2D" w:rsidP="00460FF8">
                      <w:pPr>
                        <w:spacing w:line="240" w:lineRule="auto"/>
                        <w:rPr>
                          <w:sz w:val="20"/>
                        </w:rPr>
                      </w:pPr>
                    </w:p>
                  </w:txbxContent>
                </v:textbox>
                <w10:wrap anchorx="margin"/>
              </v:shape>
            </w:pict>
          </mc:Fallback>
        </mc:AlternateContent>
      </w:r>
    </w:p>
    <w:p w14:paraId="27E89317" w14:textId="16E84E79" w:rsidR="00DE3564" w:rsidRDefault="00DE3564" w:rsidP="00D23EBF">
      <w:pPr>
        <w:shd w:val="clear" w:color="auto" w:fill="FFFFFF" w:themeFill="background1"/>
        <w:spacing w:after="0" w:line="240" w:lineRule="auto"/>
        <w:rPr>
          <w:b/>
          <w:color w:val="1F497D" w:themeColor="text2"/>
          <w:sz w:val="24"/>
          <w:szCs w:val="20"/>
        </w:rPr>
      </w:pPr>
    </w:p>
    <w:p w14:paraId="2FBE6376" w14:textId="0EFEA0E6" w:rsidR="00F85E62" w:rsidRDefault="00F85E62" w:rsidP="00D23EBF">
      <w:pPr>
        <w:shd w:val="clear" w:color="auto" w:fill="FFFFFF" w:themeFill="background1"/>
        <w:spacing w:after="0" w:line="240" w:lineRule="auto"/>
        <w:rPr>
          <w:b/>
          <w:color w:val="1F497D" w:themeColor="text2"/>
          <w:sz w:val="24"/>
          <w:szCs w:val="20"/>
        </w:rPr>
      </w:pPr>
    </w:p>
    <w:p w14:paraId="121CBA55" w14:textId="5F59258F" w:rsidR="00DE3564" w:rsidRDefault="00DE3564" w:rsidP="00D23EBF">
      <w:pPr>
        <w:shd w:val="clear" w:color="auto" w:fill="FFFFFF" w:themeFill="background1"/>
        <w:spacing w:after="0" w:line="240" w:lineRule="auto"/>
        <w:rPr>
          <w:b/>
          <w:color w:val="1F497D" w:themeColor="text2"/>
          <w:sz w:val="24"/>
          <w:szCs w:val="20"/>
        </w:rPr>
      </w:pPr>
    </w:p>
    <w:p w14:paraId="46841F72" w14:textId="473F2B65" w:rsidR="00DE3564" w:rsidRDefault="00DE3564" w:rsidP="00DE3564">
      <w:pPr>
        <w:shd w:val="clear" w:color="auto" w:fill="FFFFFF" w:themeFill="background1"/>
        <w:spacing w:after="0" w:line="240" w:lineRule="auto"/>
        <w:rPr>
          <w:b/>
          <w:color w:val="1F497D" w:themeColor="text2"/>
          <w:sz w:val="24"/>
          <w:szCs w:val="20"/>
        </w:rPr>
      </w:pPr>
    </w:p>
    <w:p w14:paraId="6E356E9F" w14:textId="332B3B28" w:rsidR="00DE3564" w:rsidRDefault="00DE3564" w:rsidP="00DE3564">
      <w:pPr>
        <w:shd w:val="clear" w:color="auto" w:fill="FFFFFF" w:themeFill="background1"/>
        <w:spacing w:after="0" w:line="240" w:lineRule="auto"/>
        <w:rPr>
          <w:b/>
          <w:color w:val="1F497D" w:themeColor="text2"/>
          <w:sz w:val="24"/>
          <w:szCs w:val="20"/>
        </w:rPr>
      </w:pPr>
    </w:p>
    <w:p w14:paraId="5B69E77F" w14:textId="2DA31B96" w:rsidR="00023B59" w:rsidRDefault="00023B59" w:rsidP="00DE3564">
      <w:pPr>
        <w:shd w:val="clear" w:color="auto" w:fill="FFFFFF" w:themeFill="background1"/>
        <w:spacing w:after="0" w:line="240" w:lineRule="auto"/>
        <w:rPr>
          <w:b/>
          <w:color w:val="1F497D" w:themeColor="text2"/>
          <w:sz w:val="24"/>
          <w:szCs w:val="20"/>
        </w:rPr>
      </w:pPr>
    </w:p>
    <w:p w14:paraId="22F967DA" w14:textId="5393051B" w:rsidR="00F55DE1" w:rsidRDefault="00F55DE1" w:rsidP="00F55DE1">
      <w:pPr>
        <w:shd w:val="clear" w:color="auto" w:fill="FFFFFF" w:themeFill="background1"/>
        <w:spacing w:after="0" w:line="240" w:lineRule="auto"/>
        <w:rPr>
          <w:b/>
          <w:color w:val="000000" w:themeColor="text1"/>
        </w:rPr>
      </w:pPr>
    </w:p>
    <w:p w14:paraId="529FF58E" w14:textId="2AE125C9" w:rsidR="00F55DE1" w:rsidRDefault="004B0038" w:rsidP="00F55DE1">
      <w:pPr>
        <w:shd w:val="clear" w:color="auto" w:fill="FFFFFF" w:themeFill="background1"/>
        <w:spacing w:after="0" w:line="240" w:lineRule="auto"/>
        <w:rPr>
          <w:b/>
          <w:color w:val="000000" w:themeColor="text1"/>
        </w:rPr>
      </w:pPr>
      <w:r>
        <w:rPr>
          <w:noProof/>
          <w:sz w:val="36"/>
          <w:szCs w:val="36"/>
        </w:rPr>
        <mc:AlternateContent>
          <mc:Choice Requires="wps">
            <w:drawing>
              <wp:anchor distT="0" distB="0" distL="114300" distR="114300" simplePos="0" relativeHeight="251672064" behindDoc="0" locked="0" layoutInCell="1" allowOverlap="1" wp14:anchorId="745F7E31" wp14:editId="067A2D5B">
                <wp:simplePos x="0" y="0"/>
                <wp:positionH relativeFrom="page">
                  <wp:posOffset>546100</wp:posOffset>
                </wp:positionH>
                <wp:positionV relativeFrom="paragraph">
                  <wp:posOffset>44450</wp:posOffset>
                </wp:positionV>
                <wp:extent cx="6826250" cy="1308100"/>
                <wp:effectExtent l="38100" t="38100" r="107950" b="120650"/>
                <wp:wrapNone/>
                <wp:docPr id="3"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1308100"/>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42F92C0F" w14:textId="41F9AD37" w:rsidR="00073E2D" w:rsidRPr="00596C87" w:rsidRDefault="00073E2D" w:rsidP="00073E2D">
                            <w:pPr>
                              <w:spacing w:after="0"/>
                              <w:rPr>
                                <w:b/>
                                <w:color w:val="1F497D" w:themeColor="text2"/>
                                <w:sz w:val="24"/>
                                <w:szCs w:val="28"/>
                              </w:rPr>
                            </w:pPr>
                            <w:r>
                              <w:rPr>
                                <w:b/>
                                <w:color w:val="1F497D" w:themeColor="text2"/>
                                <w:sz w:val="24"/>
                                <w:szCs w:val="24"/>
                              </w:rPr>
                              <w:t>ALLOWABLE COSTS FOR PERKINS V</w:t>
                            </w:r>
                          </w:p>
                          <w:p w14:paraId="6AD41C5A" w14:textId="53E1B17F" w:rsidR="00073E2D" w:rsidRPr="006B2ABE" w:rsidRDefault="00073E2D" w:rsidP="00073E2D">
                            <w:pPr>
                              <w:spacing w:line="240" w:lineRule="auto"/>
                              <w:rPr>
                                <w:bCs/>
                              </w:rPr>
                            </w:pPr>
                            <w:r w:rsidRPr="006B2ABE">
                              <w:rPr>
                                <w:bCs/>
                              </w:rPr>
                              <w:t xml:space="preserve">For a particular cost to be allowed, it must be necessary and reasonable for proper and efficient performance and administration of the </w:t>
                            </w:r>
                            <w:hyperlink r:id="rId21" w:history="1">
                              <w:r w:rsidRPr="006B2ABE">
                                <w:rPr>
                                  <w:rStyle w:val="Hyperlink"/>
                                  <w:rFonts w:cstheme="minorBidi"/>
                                  <w:bCs/>
                                </w:rPr>
                                <w:t>Perkins grant</w:t>
                              </w:r>
                            </w:hyperlink>
                            <w:r w:rsidRPr="006B2ABE">
                              <w:rPr>
                                <w:bCs/>
                              </w:rPr>
                              <w:t xml:space="preserve">. </w:t>
                            </w:r>
                            <w:r w:rsidR="0077784A">
                              <w:rPr>
                                <w:bCs/>
                              </w:rPr>
                              <w:t>Expanded</w:t>
                            </w:r>
                            <w:r w:rsidRPr="006B2ABE">
                              <w:rPr>
                                <w:bCs/>
                              </w:rPr>
                              <w:t xml:space="preserve"> guidance about standards for determining costs for </w:t>
                            </w:r>
                            <w:r w:rsidR="0077784A">
                              <w:rPr>
                                <w:bCs/>
                              </w:rPr>
                              <w:t>Perkins V</w:t>
                            </w:r>
                            <w:r w:rsidRPr="006B2ABE">
                              <w:rPr>
                                <w:bCs/>
                              </w:rPr>
                              <w:t xml:space="preserve"> is available </w:t>
                            </w:r>
                            <w:r w:rsidR="0077784A">
                              <w:rPr>
                                <w:bCs/>
                              </w:rPr>
                              <w:t xml:space="preserve">in a newly </w:t>
                            </w:r>
                            <w:r w:rsidR="0077784A">
                              <w:t xml:space="preserve">developed </w:t>
                            </w:r>
                            <w:hyperlink r:id="rId22" w:history="1">
                              <w:r w:rsidR="0077784A" w:rsidRPr="00B70A2D">
                                <w:rPr>
                                  <w:rStyle w:val="Hyperlink"/>
                                  <w:rFonts w:cstheme="minorBidi"/>
                                </w:rPr>
                                <w:t>Perkins V Allowable and Unallowable Costs document,</w:t>
                              </w:r>
                            </w:hyperlink>
                            <w:r w:rsidR="0077784A">
                              <w:t xml:space="preserve"> which can be used to</w:t>
                            </w:r>
                            <w:r w:rsidR="0077784A">
                              <w:rPr>
                                <w:bCs/>
                              </w:rPr>
                              <w:t xml:space="preserve"> guide LEAs in expending Perkins (400 and 401) funds. Additional information can be found from the </w:t>
                            </w:r>
                            <w:r w:rsidRPr="006B2ABE">
                              <w:rPr>
                                <w:bCs/>
                              </w:rPr>
                              <w:t>federal Office of Management and Budget (OMB) Uniform Administrative Requirements, Cost Principles, and Audit Requirements for Federal Awards (</w:t>
                            </w:r>
                            <w:hyperlink r:id="rId23">
                              <w:r w:rsidRPr="006B2ABE">
                                <w:rPr>
                                  <w:rStyle w:val="Hyperlink"/>
                                  <w:rFonts w:cstheme="minorBidi"/>
                                  <w:bCs/>
                                </w:rPr>
                                <w:t>2 CFR Part 200</w:t>
                              </w:r>
                            </w:hyperlink>
                            <w:r w:rsidRPr="006B2ABE">
                              <w:rPr>
                                <w:bCs/>
                              </w:rPr>
                              <w:t>)</w:t>
                            </w:r>
                            <w:r w:rsidR="0077784A">
                              <w:rPr>
                                <w:bCs/>
                              </w:rPr>
                              <w:t xml:space="preserve">. </w:t>
                            </w:r>
                          </w:p>
                          <w:p w14:paraId="6C1C241F" w14:textId="4FDCF5F2" w:rsidR="00073E2D" w:rsidRPr="00BD1A2F" w:rsidRDefault="00073E2D" w:rsidP="00073E2D">
                            <w:pPr>
                              <w:spacing w:line="240" w:lineRule="auto"/>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F7E31" id="_x0000_s1030" type="#_x0000_t202" style="position:absolute;margin-left:43pt;margin-top:3.5pt;width:537.5pt;height:103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" strokecolor="#365f91 [2404]" strokeweight=".25pt">
                <v:shadow on="t" color="black" opacity="26214f" origin="-.5,-.5" offset=".74836mm,.74836mm"/>
                <v:textbox>
                  <w:txbxContent>
                    <w:p w14:paraId="42F92C0F" w14:textId="41F9AD37" w:rsidR="00073E2D" w:rsidRPr="00596C87" w:rsidRDefault="00073E2D" w:rsidP="00073E2D">
                      <w:pPr>
                        <w:spacing w:after="0"/>
                        <w:rPr>
                          <w:b/>
                          <w:color w:val="1F497D" w:themeColor="text2"/>
                          <w:sz w:val="24"/>
                          <w:szCs w:val="28"/>
                        </w:rPr>
                      </w:pPr>
                      <w:r>
                        <w:rPr>
                          <w:b/>
                          <w:color w:val="1F497D" w:themeColor="text2"/>
                          <w:sz w:val="24"/>
                          <w:szCs w:val="24"/>
                        </w:rPr>
                        <w:t>ALLOWABLE COSTS FOR PERKINS V</w:t>
                      </w:r>
                    </w:p>
                    <w:p w14:paraId="6AD41C5A" w14:textId="53E1B17F" w:rsidR="00073E2D" w:rsidRPr="006B2ABE" w:rsidRDefault="00073E2D" w:rsidP="00073E2D">
                      <w:pPr>
                        <w:spacing w:line="240" w:lineRule="auto"/>
                        <w:rPr>
                          <w:bCs/>
                        </w:rPr>
                      </w:pPr>
                      <w:r w:rsidRPr="006B2ABE">
                        <w:rPr>
                          <w:bCs/>
                        </w:rPr>
                        <w:t xml:space="preserve">For a particular cost to be allowed, it must be necessary and reasonable for proper and efficient performance and administration of the </w:t>
                      </w:r>
                      <w:hyperlink r:id="rId24" w:history="1">
                        <w:r w:rsidRPr="006B2ABE">
                          <w:rPr>
                            <w:rStyle w:val="Hyperlink"/>
                            <w:rFonts w:cstheme="minorBidi"/>
                            <w:bCs/>
                          </w:rPr>
                          <w:t>Perkins grant</w:t>
                        </w:r>
                      </w:hyperlink>
                      <w:r w:rsidRPr="006B2ABE">
                        <w:rPr>
                          <w:bCs/>
                        </w:rPr>
                        <w:t xml:space="preserve">. </w:t>
                      </w:r>
                      <w:r w:rsidR="0077784A">
                        <w:rPr>
                          <w:bCs/>
                        </w:rPr>
                        <w:t>Expanded</w:t>
                      </w:r>
                      <w:r w:rsidRPr="006B2ABE">
                        <w:rPr>
                          <w:bCs/>
                        </w:rPr>
                        <w:t xml:space="preserve"> guidance about standards for determining costs for </w:t>
                      </w:r>
                      <w:r w:rsidR="0077784A">
                        <w:rPr>
                          <w:bCs/>
                        </w:rPr>
                        <w:t>Perkins V</w:t>
                      </w:r>
                      <w:r w:rsidRPr="006B2ABE">
                        <w:rPr>
                          <w:bCs/>
                        </w:rPr>
                        <w:t xml:space="preserve"> is available </w:t>
                      </w:r>
                      <w:r w:rsidR="0077784A">
                        <w:rPr>
                          <w:bCs/>
                        </w:rPr>
                        <w:t xml:space="preserve">in a newly </w:t>
                      </w:r>
                      <w:r w:rsidR="0077784A">
                        <w:t xml:space="preserve">developed </w:t>
                      </w:r>
                      <w:hyperlink r:id="rId25" w:history="1">
                        <w:r w:rsidR="0077784A" w:rsidRPr="00B70A2D">
                          <w:rPr>
                            <w:rStyle w:val="Hyperlink"/>
                            <w:rFonts w:cstheme="minorBidi"/>
                          </w:rPr>
                          <w:t>Perkins V Allowable and Unallowable Costs document,</w:t>
                        </w:r>
                      </w:hyperlink>
                      <w:r w:rsidR="0077784A">
                        <w:t xml:space="preserve"> which can be used to</w:t>
                      </w:r>
                      <w:r w:rsidR="0077784A">
                        <w:rPr>
                          <w:bCs/>
                        </w:rPr>
                        <w:t xml:space="preserve"> guide LEAs in expending Perkins (400 and 401) funds. Additional information can be found from the </w:t>
                      </w:r>
                      <w:r w:rsidRPr="006B2ABE">
                        <w:rPr>
                          <w:bCs/>
                        </w:rPr>
                        <w:t>federal Office of Management and Budget (OMB) Uniform Administrative Requirements, Cost Principles, and Audit Requirements for Federal Awards (</w:t>
                      </w:r>
                      <w:hyperlink r:id="rId26">
                        <w:r w:rsidRPr="006B2ABE">
                          <w:rPr>
                            <w:rStyle w:val="Hyperlink"/>
                            <w:rFonts w:cstheme="minorBidi"/>
                            <w:bCs/>
                          </w:rPr>
                          <w:t>2 CFR Part 200</w:t>
                        </w:r>
                      </w:hyperlink>
                      <w:r w:rsidRPr="006B2ABE">
                        <w:rPr>
                          <w:bCs/>
                        </w:rPr>
                        <w:t>)</w:t>
                      </w:r>
                      <w:r w:rsidR="0077784A">
                        <w:rPr>
                          <w:bCs/>
                        </w:rPr>
                        <w:t xml:space="preserve">. </w:t>
                      </w:r>
                    </w:p>
                    <w:p w14:paraId="6C1C241F" w14:textId="4FDCF5F2" w:rsidR="00073E2D" w:rsidRPr="00BD1A2F" w:rsidRDefault="00073E2D" w:rsidP="00073E2D">
                      <w:pPr>
                        <w:spacing w:line="240" w:lineRule="auto"/>
                        <w:rPr>
                          <w:sz w:val="20"/>
                        </w:rPr>
                      </w:pPr>
                    </w:p>
                  </w:txbxContent>
                </v:textbox>
                <w10:wrap anchorx="page"/>
              </v:shape>
            </w:pict>
          </mc:Fallback>
        </mc:AlternateContent>
      </w:r>
    </w:p>
    <w:p w14:paraId="4D317B1E" w14:textId="011201F1" w:rsidR="00F55DE1" w:rsidRDefault="00F55DE1" w:rsidP="00F55DE1">
      <w:pPr>
        <w:shd w:val="clear" w:color="auto" w:fill="FFFFFF" w:themeFill="background1"/>
        <w:spacing w:after="0" w:line="240" w:lineRule="auto"/>
        <w:rPr>
          <w:b/>
          <w:color w:val="1F497D" w:themeColor="text2"/>
          <w:sz w:val="24"/>
          <w:szCs w:val="20"/>
        </w:rPr>
      </w:pPr>
    </w:p>
    <w:p w14:paraId="2647D90C" w14:textId="57A39355" w:rsidR="00F55DE1" w:rsidRDefault="00F55DE1" w:rsidP="00F55DE1">
      <w:pPr>
        <w:shd w:val="clear" w:color="auto" w:fill="FFFFFF" w:themeFill="background1"/>
        <w:spacing w:after="0" w:line="240" w:lineRule="auto"/>
        <w:rPr>
          <w:b/>
          <w:color w:val="1F497D" w:themeColor="text2"/>
          <w:sz w:val="24"/>
          <w:szCs w:val="20"/>
        </w:rPr>
      </w:pPr>
    </w:p>
    <w:p w14:paraId="63969141" w14:textId="0F28A298" w:rsidR="008829B9" w:rsidRDefault="008829B9" w:rsidP="00F55DE1">
      <w:pPr>
        <w:shd w:val="clear" w:color="auto" w:fill="FFFFFF" w:themeFill="background1"/>
        <w:spacing w:after="0" w:line="240" w:lineRule="auto"/>
        <w:rPr>
          <w:b/>
          <w:color w:val="1F497D" w:themeColor="text2"/>
          <w:sz w:val="24"/>
          <w:szCs w:val="20"/>
        </w:rPr>
      </w:pPr>
    </w:p>
    <w:p w14:paraId="4149F474" w14:textId="77777777" w:rsidR="0074500C" w:rsidRDefault="0074500C" w:rsidP="00D23EBF">
      <w:pPr>
        <w:shd w:val="clear" w:color="auto" w:fill="FFFFFF" w:themeFill="background1"/>
        <w:spacing w:after="0" w:line="240" w:lineRule="auto"/>
        <w:rPr>
          <w:b/>
          <w:color w:val="1F497D" w:themeColor="text2"/>
          <w:sz w:val="20"/>
          <w:szCs w:val="20"/>
        </w:rPr>
      </w:pPr>
    </w:p>
    <w:p w14:paraId="069934A5" w14:textId="720EBE41" w:rsidR="004D391C" w:rsidRPr="00B70A2D" w:rsidRDefault="00EF06B6" w:rsidP="00D23EBF">
      <w:pPr>
        <w:shd w:val="clear" w:color="auto" w:fill="FFFFFF" w:themeFill="background1"/>
        <w:spacing w:after="0" w:line="240" w:lineRule="auto"/>
        <w:rPr>
          <w:b/>
          <w:color w:val="1F497D" w:themeColor="text2"/>
          <w:sz w:val="24"/>
          <w:szCs w:val="24"/>
        </w:rPr>
      </w:pPr>
      <w:r w:rsidRPr="00B70A2D">
        <w:rPr>
          <w:b/>
          <w:color w:val="1F497D" w:themeColor="text2"/>
          <w:sz w:val="24"/>
          <w:szCs w:val="24"/>
        </w:rPr>
        <w:lastRenderedPageBreak/>
        <w:t xml:space="preserve">Perkins allowable </w:t>
      </w:r>
      <w:r w:rsidR="00903FE6" w:rsidRPr="00B70A2D">
        <w:rPr>
          <w:b/>
          <w:color w:val="1F497D" w:themeColor="text2"/>
          <w:sz w:val="24"/>
          <w:szCs w:val="24"/>
        </w:rPr>
        <w:t>HQCCP expenses</w:t>
      </w:r>
      <w:r w:rsidRPr="00B70A2D">
        <w:rPr>
          <w:b/>
          <w:color w:val="1F497D" w:themeColor="text2"/>
          <w:sz w:val="24"/>
          <w:szCs w:val="24"/>
        </w:rPr>
        <w:t xml:space="preserve"> </w:t>
      </w:r>
      <w:r w:rsidR="004B0038" w:rsidRPr="00B70A2D">
        <w:rPr>
          <w:b/>
          <w:color w:val="1F497D" w:themeColor="text2"/>
          <w:sz w:val="24"/>
          <w:szCs w:val="24"/>
        </w:rPr>
        <w:t>must be</w:t>
      </w:r>
      <w:r w:rsidR="00E208E0" w:rsidRPr="00B70A2D">
        <w:rPr>
          <w:b/>
          <w:color w:val="1F497D" w:themeColor="text2"/>
          <w:sz w:val="24"/>
          <w:szCs w:val="24"/>
        </w:rPr>
        <w:t xml:space="preserve"> related to Career and Technical Education</w:t>
      </w:r>
      <w:r w:rsidR="004B0038" w:rsidRPr="00B70A2D">
        <w:rPr>
          <w:b/>
          <w:color w:val="1F497D" w:themeColor="text2"/>
          <w:sz w:val="24"/>
          <w:szCs w:val="24"/>
        </w:rPr>
        <w:t xml:space="preserve"> courses</w:t>
      </w:r>
      <w:r w:rsidR="00E208E0" w:rsidRPr="00B70A2D">
        <w:rPr>
          <w:b/>
          <w:color w:val="1F497D" w:themeColor="text2"/>
          <w:sz w:val="24"/>
          <w:szCs w:val="24"/>
        </w:rPr>
        <w:t xml:space="preserve">. </w:t>
      </w:r>
      <w:r w:rsidR="00CC56FF" w:rsidRPr="00B70A2D">
        <w:rPr>
          <w:b/>
          <w:color w:val="1F497D" w:themeColor="text2"/>
          <w:sz w:val="24"/>
          <w:szCs w:val="24"/>
        </w:rPr>
        <w:t>The following chart lists</w:t>
      </w:r>
      <w:r w:rsidR="006B2ABE" w:rsidRPr="00B70A2D">
        <w:rPr>
          <w:b/>
          <w:color w:val="1F497D" w:themeColor="text2"/>
          <w:sz w:val="24"/>
          <w:szCs w:val="24"/>
        </w:rPr>
        <w:t xml:space="preserve"> Innovation Pathways and Early College Designation</w:t>
      </w:r>
      <w:r w:rsidR="00CC56FF" w:rsidRPr="00B70A2D">
        <w:rPr>
          <w:b/>
          <w:color w:val="1F497D" w:themeColor="text2"/>
          <w:sz w:val="24"/>
          <w:szCs w:val="24"/>
        </w:rPr>
        <w:t xml:space="preserve"> budget items </w:t>
      </w:r>
      <w:r w:rsidR="006B2ABE" w:rsidRPr="00B70A2D">
        <w:rPr>
          <w:b/>
          <w:color w:val="1F497D" w:themeColor="text2"/>
          <w:sz w:val="24"/>
          <w:szCs w:val="24"/>
        </w:rPr>
        <w:t>and their</w:t>
      </w:r>
      <w:r w:rsidR="00CC56FF" w:rsidRPr="00B70A2D">
        <w:rPr>
          <w:b/>
          <w:color w:val="1F497D" w:themeColor="text2"/>
          <w:sz w:val="24"/>
          <w:szCs w:val="24"/>
        </w:rPr>
        <w:t xml:space="preserve"> </w:t>
      </w:r>
      <w:r w:rsidR="00AA73B5" w:rsidRPr="00B70A2D">
        <w:rPr>
          <w:b/>
          <w:color w:val="1F497D" w:themeColor="text2"/>
          <w:sz w:val="24"/>
          <w:szCs w:val="24"/>
        </w:rPr>
        <w:t xml:space="preserve">potential </w:t>
      </w:r>
      <w:r w:rsidR="00CC56FF" w:rsidRPr="00B70A2D">
        <w:rPr>
          <w:b/>
          <w:color w:val="1F497D" w:themeColor="text2"/>
          <w:sz w:val="24"/>
          <w:szCs w:val="24"/>
        </w:rPr>
        <w:t xml:space="preserve">intersection </w:t>
      </w:r>
      <w:r w:rsidR="006B2ABE" w:rsidRPr="00B70A2D">
        <w:rPr>
          <w:b/>
          <w:color w:val="1F497D" w:themeColor="text2"/>
          <w:sz w:val="24"/>
          <w:szCs w:val="24"/>
        </w:rPr>
        <w:t xml:space="preserve">with </w:t>
      </w:r>
      <w:r w:rsidR="00CC56FF" w:rsidRPr="00B70A2D">
        <w:rPr>
          <w:b/>
          <w:color w:val="1F497D" w:themeColor="text2"/>
          <w:sz w:val="24"/>
          <w:szCs w:val="24"/>
        </w:rPr>
        <w:t xml:space="preserve">Perkins Secondary Allocation grant (Fund Code 400) or Postsecondary Allocation grant (Fund Code 401). </w:t>
      </w:r>
      <w:r w:rsidR="008F5754" w:rsidRPr="00B70A2D">
        <w:rPr>
          <w:b/>
          <w:color w:val="1F497D" w:themeColor="text2"/>
          <w:sz w:val="24"/>
          <w:szCs w:val="24"/>
        </w:rPr>
        <w:t xml:space="preserve">Please refer to </w:t>
      </w:r>
      <w:hyperlink r:id="rId27" w:history="1">
        <w:r w:rsidR="008F5754" w:rsidRPr="00B70A2D">
          <w:rPr>
            <w:rStyle w:val="Hyperlink"/>
            <w:rFonts w:cstheme="minorBidi"/>
            <w:sz w:val="24"/>
            <w:szCs w:val="24"/>
          </w:rPr>
          <w:t>this</w:t>
        </w:r>
      </w:hyperlink>
      <w:r w:rsidR="008F5754" w:rsidRPr="00B70A2D">
        <w:rPr>
          <w:b/>
          <w:color w:val="1F497D" w:themeColor="text2"/>
          <w:sz w:val="24"/>
          <w:szCs w:val="24"/>
        </w:rPr>
        <w:t xml:space="preserve"> document for a more extensive list of Perkins V </w:t>
      </w:r>
      <w:r w:rsidR="00E95ED9" w:rsidRPr="00B70A2D">
        <w:rPr>
          <w:b/>
          <w:color w:val="1F497D" w:themeColor="text2"/>
          <w:sz w:val="24"/>
          <w:szCs w:val="24"/>
        </w:rPr>
        <w:t>A</w:t>
      </w:r>
      <w:r w:rsidR="008F5754" w:rsidRPr="00B70A2D">
        <w:rPr>
          <w:b/>
          <w:color w:val="1F497D" w:themeColor="text2"/>
          <w:sz w:val="24"/>
          <w:szCs w:val="24"/>
        </w:rPr>
        <w:t xml:space="preserve">llowable and </w:t>
      </w:r>
      <w:r w:rsidR="00E95ED9" w:rsidRPr="00B70A2D">
        <w:rPr>
          <w:b/>
          <w:color w:val="1F497D" w:themeColor="text2"/>
          <w:sz w:val="24"/>
          <w:szCs w:val="24"/>
        </w:rPr>
        <w:t>U</w:t>
      </w:r>
      <w:r w:rsidR="008F5754" w:rsidRPr="00B70A2D">
        <w:rPr>
          <w:b/>
          <w:color w:val="1F497D" w:themeColor="text2"/>
          <w:sz w:val="24"/>
          <w:szCs w:val="24"/>
        </w:rPr>
        <w:t>nallowable costs.</w:t>
      </w:r>
      <w:r w:rsidR="00AE62AA" w:rsidRPr="00B70A2D">
        <w:rPr>
          <w:b/>
          <w:color w:val="1F497D" w:themeColor="text2"/>
          <w:sz w:val="24"/>
          <w:szCs w:val="24"/>
        </w:rPr>
        <w:t xml:space="preserve"> </w:t>
      </w:r>
      <w:r w:rsidR="00CC56FF" w:rsidRPr="00B70A2D">
        <w:rPr>
          <w:b/>
          <w:color w:val="1F497D" w:themeColor="text2"/>
          <w:sz w:val="24"/>
          <w:szCs w:val="24"/>
        </w:rPr>
        <w:t>Th</w:t>
      </w:r>
      <w:r w:rsidR="00AA73B5" w:rsidRPr="00B70A2D">
        <w:rPr>
          <w:b/>
          <w:color w:val="1F497D" w:themeColor="text2"/>
          <w:sz w:val="24"/>
          <w:szCs w:val="24"/>
        </w:rPr>
        <w:t>is</w:t>
      </w:r>
      <w:r w:rsidR="00CC56FF" w:rsidRPr="00B70A2D">
        <w:rPr>
          <w:b/>
          <w:color w:val="1F497D" w:themeColor="text2"/>
          <w:sz w:val="24"/>
          <w:szCs w:val="24"/>
        </w:rPr>
        <w:t xml:space="preserve"> list is not exhaustive and includes </w:t>
      </w:r>
      <w:r w:rsidR="00AA73B5" w:rsidRPr="00B70A2D">
        <w:rPr>
          <w:b/>
          <w:color w:val="1F497D" w:themeColor="text2"/>
          <w:sz w:val="24"/>
          <w:szCs w:val="24"/>
        </w:rPr>
        <w:t>only</w:t>
      </w:r>
      <w:r w:rsidR="00CC56FF" w:rsidRPr="00B70A2D">
        <w:rPr>
          <w:b/>
          <w:color w:val="1F497D" w:themeColor="text2"/>
          <w:sz w:val="24"/>
          <w:szCs w:val="24"/>
        </w:rPr>
        <w:t xml:space="preserve"> those items</w:t>
      </w:r>
      <w:r w:rsidR="00AA73B5" w:rsidRPr="00B70A2D">
        <w:rPr>
          <w:b/>
          <w:color w:val="1F497D" w:themeColor="text2"/>
          <w:sz w:val="24"/>
          <w:szCs w:val="24"/>
        </w:rPr>
        <w:t xml:space="preserve"> specific to Innovation Pathways and Early College Designation. </w:t>
      </w:r>
    </w:p>
    <w:p w14:paraId="0007EC9E" w14:textId="77777777" w:rsidR="004D391C" w:rsidRPr="00B70A2D" w:rsidRDefault="004D391C" w:rsidP="00D23EBF">
      <w:pPr>
        <w:shd w:val="clear" w:color="auto" w:fill="FFFFFF" w:themeFill="background1"/>
        <w:spacing w:after="0" w:line="240" w:lineRule="auto"/>
        <w:rPr>
          <w:b/>
          <w:color w:val="1F497D" w:themeColor="text2"/>
        </w:rPr>
      </w:pPr>
    </w:p>
    <w:p w14:paraId="6983F1DE" w14:textId="77777777" w:rsidR="00912B38" w:rsidRPr="008A6B65" w:rsidRDefault="00912B38" w:rsidP="00D23EBF">
      <w:pPr>
        <w:shd w:val="clear" w:color="auto" w:fill="FFFFFF" w:themeFill="background1"/>
        <w:spacing w:after="0" w:line="240" w:lineRule="auto"/>
        <w:rPr>
          <w:b/>
          <w:color w:val="1F497D" w:themeColor="text2"/>
          <w:sz w:val="20"/>
          <w:szCs w:val="20"/>
        </w:rPr>
      </w:pPr>
    </w:p>
    <w:p w14:paraId="7BC58E4D" w14:textId="4B2F493A" w:rsidR="00CE7CC7" w:rsidRPr="00CE7CC7" w:rsidRDefault="0029663E" w:rsidP="00CE7CC7">
      <w:pPr>
        <w:keepLines/>
        <w:widowControl w:val="0"/>
        <w:spacing w:after="120" w:line="240" w:lineRule="auto"/>
        <w:ind w:left="-630"/>
        <w:jc w:val="center"/>
        <w:rPr>
          <w:rFonts w:eastAsia="Arial" w:cstheme="minorHAnsi"/>
          <w:b/>
          <w:i/>
          <w:sz w:val="24"/>
          <w:szCs w:val="24"/>
        </w:rPr>
      </w:pPr>
      <w:sdt>
        <w:sdtPr>
          <w:rPr>
            <w:rFonts w:cstheme="minorHAnsi"/>
            <w:sz w:val="24"/>
            <w:szCs w:val="24"/>
          </w:rPr>
          <w:tag w:val="goog_rdk_2"/>
          <w:id w:val="619346982"/>
          <w:showingPlcHdr/>
        </w:sdtPr>
        <w:sdtEndPr/>
        <w:sdtContent>
          <w:r w:rsidR="00B70A2D">
            <w:rPr>
              <w:rFonts w:cstheme="minorHAnsi"/>
              <w:sz w:val="24"/>
              <w:szCs w:val="24"/>
            </w:rPr>
            <w:t xml:space="preserve">     </w:t>
          </w:r>
        </w:sdtContent>
      </w:sdt>
      <w:r w:rsidR="00CE7CC7" w:rsidRPr="00CE7CC7">
        <w:rPr>
          <w:rFonts w:eastAsia="Arial" w:cstheme="minorHAnsi"/>
          <w:b/>
          <w:iCs/>
          <w:sz w:val="24"/>
          <w:szCs w:val="24"/>
        </w:rPr>
        <w:t>Symbol Key</w:t>
      </w:r>
    </w:p>
    <w:tbl>
      <w:tblPr>
        <w:tblW w:w="9933" w:type="dxa"/>
        <w:tblLayout w:type="fixed"/>
        <w:tblLook w:val="04A0" w:firstRow="1" w:lastRow="0" w:firstColumn="1" w:lastColumn="0" w:noHBand="0" w:noVBand="1"/>
      </w:tblPr>
      <w:tblGrid>
        <w:gridCol w:w="3054"/>
        <w:gridCol w:w="3825"/>
        <w:gridCol w:w="3054"/>
      </w:tblGrid>
      <w:tr w:rsidR="00CE7CC7" w:rsidRPr="00CE7CC7" w14:paraId="44B7343D" w14:textId="77777777" w:rsidTr="00B42258">
        <w:trPr>
          <w:trHeight w:val="696"/>
        </w:trPr>
        <w:tc>
          <w:tcPr>
            <w:tcW w:w="3054" w:type="dxa"/>
          </w:tcPr>
          <w:p w14:paraId="64F11442" w14:textId="24EF535C" w:rsidR="00CE7CC7" w:rsidRPr="00B42258" w:rsidRDefault="00CE7CC7" w:rsidP="00CE7CC7">
            <w:pPr>
              <w:keepLines/>
              <w:widowControl w:val="0"/>
              <w:spacing w:after="120"/>
              <w:jc w:val="center"/>
              <w:rPr>
                <w:rFonts w:eastAsia="Arial" w:cstheme="minorHAnsi"/>
                <w:color w:val="007A37"/>
                <w:sz w:val="24"/>
                <w:szCs w:val="24"/>
              </w:rPr>
            </w:pPr>
            <w:r w:rsidRPr="00B42258">
              <w:rPr>
                <w:rFonts w:ascii="Segoe UI Emoji" w:eastAsia="Arial" w:hAnsi="Segoe UI Emoji" w:cs="Segoe UI Emoji"/>
                <w:b/>
                <w:color w:val="007A37"/>
                <w:sz w:val="24"/>
                <w:szCs w:val="24"/>
              </w:rPr>
              <w:t>☑</w:t>
            </w:r>
            <w:r w:rsidRPr="00B42258">
              <w:rPr>
                <w:rFonts w:eastAsia="Arial" w:cstheme="minorHAnsi"/>
                <w:b/>
                <w:color w:val="007A37"/>
                <w:sz w:val="24"/>
                <w:szCs w:val="24"/>
              </w:rPr>
              <w:t xml:space="preserve"> - </w:t>
            </w:r>
            <w:r w:rsidRPr="00B42258">
              <w:rPr>
                <w:rFonts w:eastAsia="Arial" w:cstheme="minorHAnsi"/>
                <w:b/>
                <w:color w:val="007A37"/>
                <w:sz w:val="20"/>
                <w:szCs w:val="20"/>
              </w:rPr>
              <w:t>Allowable</w:t>
            </w:r>
          </w:p>
        </w:tc>
        <w:tc>
          <w:tcPr>
            <w:tcW w:w="3825" w:type="dxa"/>
          </w:tcPr>
          <w:p w14:paraId="0FA32496" w14:textId="0655A12B" w:rsidR="00CE7CC7" w:rsidRPr="00B42258" w:rsidRDefault="00CE7CC7" w:rsidP="0077784A">
            <w:pPr>
              <w:keepLines/>
              <w:widowControl w:val="0"/>
              <w:spacing w:after="100" w:afterAutospacing="1" w:line="240" w:lineRule="auto"/>
              <w:jc w:val="center"/>
              <w:rPr>
                <w:rFonts w:eastAsia="Arial" w:cstheme="minorHAnsi"/>
                <w:color w:val="FF9933"/>
                <w:sz w:val="24"/>
                <w:szCs w:val="24"/>
              </w:rPr>
            </w:pPr>
            <w:r w:rsidRPr="00E32105">
              <w:rPr>
                <w:rFonts w:cstheme="minorHAnsi"/>
                <w:b/>
                <w:color w:val="FF9900"/>
                <w:sz w:val="28"/>
                <w:szCs w:val="28"/>
              </w:rPr>
              <w:sym w:font="Wingdings 2" w:char="F09C"/>
            </w:r>
            <w:r w:rsidRPr="00E32105">
              <w:rPr>
                <w:rFonts w:eastAsia="Arial" w:cstheme="minorHAnsi"/>
                <w:b/>
                <w:color w:val="FF9900"/>
                <w:sz w:val="24"/>
                <w:szCs w:val="24"/>
              </w:rPr>
              <w:t xml:space="preserve"> - </w:t>
            </w:r>
            <w:r w:rsidRPr="00E32105">
              <w:rPr>
                <w:rFonts w:eastAsia="Arial" w:cstheme="minorHAnsi"/>
                <w:b/>
                <w:color w:val="FF9900"/>
                <w:sz w:val="20"/>
                <w:szCs w:val="20"/>
              </w:rPr>
              <w:t>Allowable, but only under certain circumstances</w:t>
            </w:r>
            <w:r w:rsidR="00E95ED9" w:rsidRPr="00E32105">
              <w:rPr>
                <w:rFonts w:eastAsia="Arial" w:cstheme="minorHAnsi"/>
                <w:b/>
                <w:color w:val="FF9900"/>
                <w:sz w:val="20"/>
                <w:szCs w:val="20"/>
              </w:rPr>
              <w:t xml:space="preserve"> (see </w:t>
            </w:r>
            <w:hyperlink r:id="rId28" w:history="1">
              <w:r w:rsidR="00E95ED9" w:rsidRPr="003719D9">
                <w:rPr>
                  <w:rStyle w:val="Hyperlink"/>
                  <w:rFonts w:eastAsia="Arial" w:cstheme="minorHAnsi"/>
                  <w:b/>
                  <w:sz w:val="20"/>
                  <w:szCs w:val="20"/>
                </w:rPr>
                <w:t>expanded</w:t>
              </w:r>
            </w:hyperlink>
            <w:r w:rsidR="00E95ED9" w:rsidRPr="00E32105">
              <w:rPr>
                <w:rFonts w:eastAsia="Arial" w:cstheme="minorHAnsi"/>
                <w:b/>
                <w:color w:val="FF9900"/>
                <w:sz w:val="20"/>
                <w:szCs w:val="20"/>
              </w:rPr>
              <w:t xml:space="preserve"> document)</w:t>
            </w:r>
          </w:p>
        </w:tc>
        <w:tc>
          <w:tcPr>
            <w:tcW w:w="3054" w:type="dxa"/>
          </w:tcPr>
          <w:p w14:paraId="00BF4498" w14:textId="44CFDE6D" w:rsidR="00CE7CC7" w:rsidRPr="00CE7CC7" w:rsidRDefault="00CE7CC7" w:rsidP="00CE7CC7">
            <w:pPr>
              <w:keepLines/>
              <w:widowControl w:val="0"/>
              <w:spacing w:after="120"/>
              <w:jc w:val="center"/>
              <w:rPr>
                <w:rFonts w:eastAsia="Arial" w:cstheme="minorHAnsi"/>
                <w:sz w:val="24"/>
                <w:szCs w:val="24"/>
              </w:rPr>
            </w:pPr>
            <w:r w:rsidRPr="00CE7CC7">
              <w:rPr>
                <w:rFonts w:ascii="Segoe UI Symbol" w:eastAsia="Arial" w:hAnsi="Segoe UI Symbol" w:cs="Segoe UI Symbol"/>
                <w:b/>
                <w:color w:val="FF0000"/>
                <w:sz w:val="36"/>
                <w:szCs w:val="36"/>
              </w:rPr>
              <w:t>☒</w:t>
            </w:r>
            <w:r w:rsidRPr="00CE7CC7">
              <w:rPr>
                <w:rFonts w:eastAsia="Arial" w:cstheme="minorHAnsi"/>
                <w:b/>
                <w:color w:val="FF0000"/>
                <w:sz w:val="32"/>
                <w:szCs w:val="32"/>
              </w:rPr>
              <w:t xml:space="preserve"> </w:t>
            </w:r>
            <w:r w:rsidRPr="00B42258">
              <w:rPr>
                <w:rFonts w:eastAsia="Arial" w:cstheme="minorHAnsi"/>
                <w:b/>
                <w:color w:val="C00000"/>
                <w:sz w:val="24"/>
                <w:szCs w:val="24"/>
              </w:rPr>
              <w:t xml:space="preserve">- </w:t>
            </w:r>
            <w:r w:rsidRPr="00B42258">
              <w:rPr>
                <w:rFonts w:eastAsia="Arial" w:cstheme="minorHAnsi"/>
                <w:b/>
                <w:color w:val="C00000"/>
                <w:sz w:val="20"/>
                <w:szCs w:val="20"/>
              </w:rPr>
              <w:t>Not Allowable</w:t>
            </w:r>
          </w:p>
        </w:tc>
      </w:tr>
    </w:tbl>
    <w:p w14:paraId="7B8388A1" w14:textId="22540D6F" w:rsidR="007E249A" w:rsidRDefault="004D391C" w:rsidP="00073356">
      <w:pPr>
        <w:spacing w:before="120" w:line="240" w:lineRule="auto"/>
        <w:rPr>
          <w:b/>
          <w:color w:val="1F497D" w:themeColor="text2"/>
          <w:sz w:val="24"/>
          <w:szCs w:val="24"/>
          <w:highlight w:val="yellow"/>
        </w:rPr>
      </w:pPr>
      <w:r>
        <w:rPr>
          <w:noProof/>
          <w:sz w:val="36"/>
          <w:szCs w:val="36"/>
        </w:rPr>
        <mc:AlternateContent>
          <mc:Choice Requires="wps">
            <w:drawing>
              <wp:anchor distT="0" distB="0" distL="114300" distR="114300" simplePos="0" relativeHeight="251676160" behindDoc="0" locked="0" layoutInCell="1" allowOverlap="1" wp14:anchorId="1A570853" wp14:editId="706489B1">
                <wp:simplePos x="0" y="0"/>
                <wp:positionH relativeFrom="margin">
                  <wp:posOffset>550073</wp:posOffset>
                </wp:positionH>
                <wp:positionV relativeFrom="paragraph">
                  <wp:posOffset>235799</wp:posOffset>
                </wp:positionV>
                <wp:extent cx="5645150" cy="3710035"/>
                <wp:effectExtent l="38100" t="38100" r="107950" b="119380"/>
                <wp:wrapNone/>
                <wp:docPr id="9"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3710035"/>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1D1A2FC7" w14:textId="068D3EF5" w:rsidR="007E249A" w:rsidRPr="007E249A" w:rsidRDefault="00A17309" w:rsidP="007E249A">
                            <w:pPr>
                              <w:spacing w:after="0"/>
                              <w:rPr>
                                <w:b/>
                                <w:color w:val="1F497D" w:themeColor="text2"/>
                                <w:sz w:val="24"/>
                                <w:szCs w:val="28"/>
                              </w:rPr>
                            </w:pPr>
                            <w:r>
                              <w:rPr>
                                <w:b/>
                                <w:color w:val="1F497D" w:themeColor="text2"/>
                                <w:sz w:val="24"/>
                                <w:szCs w:val="28"/>
                              </w:rPr>
                              <w:t xml:space="preserve">POTENTIAL </w:t>
                            </w:r>
                            <w:r w:rsidR="007E249A">
                              <w:rPr>
                                <w:b/>
                                <w:color w:val="1F497D" w:themeColor="text2"/>
                                <w:sz w:val="24"/>
                                <w:szCs w:val="28"/>
                              </w:rPr>
                              <w:t>COSTS FOR INNOVATION PATHWAY</w:t>
                            </w:r>
                            <w:r w:rsidR="009C5D52">
                              <w:rPr>
                                <w:b/>
                                <w:color w:val="1F497D" w:themeColor="text2"/>
                                <w:sz w:val="24"/>
                                <w:szCs w:val="28"/>
                              </w:rPr>
                              <w:t>S AND EARLY COLLEGE DESIGNATION</w:t>
                            </w:r>
                          </w:p>
                          <w:tbl>
                            <w:tblPr>
                              <w:tblStyle w:val="TableGrid"/>
                              <w:tblW w:w="85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tblGrid>
                            <w:tr w:rsidR="00A17309" w:rsidRPr="00A17309" w14:paraId="19234896" w14:textId="77777777" w:rsidTr="00EF06B6">
                              <w:trPr>
                                <w:trHeight w:val="306"/>
                              </w:trPr>
                              <w:tc>
                                <w:tcPr>
                                  <w:tcW w:w="8550" w:type="dxa"/>
                                  <w:noWrap/>
                                  <w:hideMark/>
                                </w:tcPr>
                                <w:p w14:paraId="028ECBA4" w14:textId="50B42CE1" w:rsidR="00A17309" w:rsidRPr="00B70A2D" w:rsidRDefault="008F5219" w:rsidP="00A17309">
                                  <w:pPr>
                                    <w:rPr>
                                      <w:rFonts w:eastAsia="Times New Roman"/>
                                      <w:sz w:val="22"/>
                                      <w:szCs w:val="22"/>
                                    </w:rPr>
                                  </w:pPr>
                                  <w:r w:rsidRPr="004D391C">
                                    <w:rPr>
                                      <w:rFonts w:ascii="Segoe UI Emoji" w:eastAsia="Arial" w:hAnsi="Segoe UI Emoji" w:cs="Segoe UI Emoji"/>
                                      <w:b/>
                                      <w:color w:val="007A37"/>
                                    </w:rPr>
                                    <w:t>☑</w:t>
                                  </w:r>
                                  <w:r w:rsidR="00A17309" w:rsidRPr="004D391C">
                                    <w:rPr>
                                      <w:rFonts w:eastAsia="Times New Roman"/>
                                    </w:rPr>
                                    <w:t>Contractual services - coaching and consultation associated with t</w:t>
                                  </w:r>
                                  <w:r w:rsidR="009C5D52" w:rsidRPr="004D391C">
                                    <w:rPr>
                                      <w:rFonts w:eastAsia="Times New Roman"/>
                                    </w:rPr>
                                    <w:t>he designation</w:t>
                                  </w:r>
                                </w:p>
                                <w:p w14:paraId="70D43C89" w14:textId="75DE9CEE" w:rsidR="008D0EE2" w:rsidRPr="00B70A2D" w:rsidRDefault="008D0EE2" w:rsidP="00CE7ADA">
                                  <w:pPr>
                                    <w:pStyle w:val="ListParagraph"/>
                                    <w:numPr>
                                      <w:ilvl w:val="0"/>
                                      <w:numId w:val="49"/>
                                    </w:numPr>
                                    <w:rPr>
                                      <w:rFonts w:eastAsia="Times New Roman"/>
                                      <w:sz w:val="22"/>
                                      <w:szCs w:val="22"/>
                                    </w:rPr>
                                  </w:pPr>
                                  <w:r w:rsidRPr="004D391C">
                                    <w:rPr>
                                      <w:rFonts w:eastAsia="Times New Roman"/>
                                    </w:rPr>
                                    <w:t>Translation services</w:t>
                                  </w:r>
                                </w:p>
                              </w:tc>
                            </w:tr>
                            <w:tr w:rsidR="00EF06B6" w:rsidRPr="00A17309" w14:paraId="26C04F25" w14:textId="77777777" w:rsidTr="00EF06B6">
                              <w:trPr>
                                <w:trHeight w:val="306"/>
                              </w:trPr>
                              <w:tc>
                                <w:tcPr>
                                  <w:tcW w:w="8550" w:type="dxa"/>
                                  <w:noWrap/>
                                </w:tcPr>
                                <w:p w14:paraId="4A868C47" w14:textId="40D37E5B" w:rsidR="00EF06B6" w:rsidRPr="00B70A2D" w:rsidRDefault="00EF06B6" w:rsidP="00A17309">
                                  <w:pPr>
                                    <w:rPr>
                                      <w:rFonts w:ascii="Segoe UI Emoji" w:eastAsia="Arial" w:hAnsi="Segoe UI Emoji" w:cs="Segoe UI Emoji"/>
                                      <w:b/>
                                      <w:color w:val="007A37"/>
                                      <w:sz w:val="22"/>
                                      <w:szCs w:val="22"/>
                                    </w:rPr>
                                  </w:pPr>
                                  <w:r w:rsidRPr="004D391C">
                                    <w:rPr>
                                      <w:rFonts w:ascii="Segoe UI Emoji" w:eastAsia="Arial" w:hAnsi="Segoe UI Emoji" w:cs="Segoe UI Emoji"/>
                                      <w:b/>
                                      <w:color w:val="007A37"/>
                                    </w:rPr>
                                    <w:t>☑</w:t>
                                  </w:r>
                                  <w:r w:rsidRPr="004D391C">
                                    <w:rPr>
                                      <w:rFonts w:eastAsia="Times New Roman"/>
                                    </w:rPr>
                                    <w:t>Professional development</w:t>
                                  </w:r>
                                </w:p>
                              </w:tc>
                            </w:tr>
                            <w:tr w:rsidR="00EF06B6" w:rsidRPr="00A17309" w14:paraId="08BFAF61" w14:textId="77777777" w:rsidTr="00EF06B6">
                              <w:trPr>
                                <w:trHeight w:val="306"/>
                              </w:trPr>
                              <w:tc>
                                <w:tcPr>
                                  <w:tcW w:w="8550" w:type="dxa"/>
                                  <w:noWrap/>
                                </w:tcPr>
                                <w:p w14:paraId="375DCE6D" w14:textId="77777777" w:rsidR="00EF06B6" w:rsidRPr="00B70A2D" w:rsidRDefault="00EF06B6" w:rsidP="00EF06B6">
                                  <w:pPr>
                                    <w:rPr>
                                      <w:rFonts w:eastAsia="Times New Roman"/>
                                      <w:sz w:val="22"/>
                                      <w:szCs w:val="22"/>
                                    </w:rPr>
                                  </w:pPr>
                                  <w:r w:rsidRPr="004D391C">
                                    <w:rPr>
                                      <w:rFonts w:ascii="Segoe UI Emoji" w:eastAsia="Arial" w:hAnsi="Segoe UI Emoji" w:cs="Segoe UI Emoji"/>
                                      <w:b/>
                                      <w:color w:val="007A37"/>
                                    </w:rPr>
                                    <w:t>☑</w:t>
                                  </w:r>
                                  <w:r w:rsidRPr="004D391C">
                                    <w:rPr>
                                      <w:rFonts w:eastAsia="Times New Roman"/>
                                    </w:rPr>
                                    <w:t>Program Administration and Coordination</w:t>
                                  </w:r>
                                </w:p>
                                <w:p w14:paraId="24C50E0E" w14:textId="77777777" w:rsidR="00EF06B6" w:rsidRPr="00B70A2D" w:rsidRDefault="00EF06B6" w:rsidP="00EF06B6">
                                  <w:pPr>
                                    <w:pStyle w:val="ListParagraph"/>
                                    <w:numPr>
                                      <w:ilvl w:val="0"/>
                                      <w:numId w:val="49"/>
                                    </w:numPr>
                                    <w:rPr>
                                      <w:rFonts w:eastAsia="Times New Roman"/>
                                      <w:sz w:val="18"/>
                                      <w:szCs w:val="18"/>
                                    </w:rPr>
                                  </w:pPr>
                                  <w:r w:rsidRPr="00B70A2D">
                                    <w:rPr>
                                      <w:rFonts w:eastAsia="Times New Roman"/>
                                      <w:sz w:val="22"/>
                                      <w:szCs w:val="22"/>
                                    </w:rPr>
                                    <w:t>Engagement with industry</w:t>
                                  </w:r>
                                </w:p>
                                <w:p w14:paraId="00639E61" w14:textId="36B8FC7D" w:rsidR="00EF06B6" w:rsidRPr="00B70A2D" w:rsidRDefault="00EF06B6" w:rsidP="00B70A2D">
                                  <w:pPr>
                                    <w:pStyle w:val="ListParagraph"/>
                                    <w:numPr>
                                      <w:ilvl w:val="0"/>
                                      <w:numId w:val="49"/>
                                    </w:numPr>
                                    <w:rPr>
                                      <w:rFonts w:ascii="Segoe UI Emoji" w:eastAsia="Arial" w:hAnsi="Segoe UI Emoji" w:cs="Segoe UI Emoji"/>
                                      <w:b/>
                                      <w:color w:val="007A37"/>
                                      <w:sz w:val="22"/>
                                      <w:szCs w:val="22"/>
                                    </w:rPr>
                                  </w:pPr>
                                  <w:r w:rsidRPr="00B70A2D">
                                    <w:rPr>
                                      <w:rFonts w:eastAsia="Times New Roman"/>
                                      <w:sz w:val="22"/>
                                      <w:szCs w:val="22"/>
                                    </w:rPr>
                                    <w:t>Providing work-based learning opportunities for students</w:t>
                                  </w:r>
                                </w:p>
                              </w:tc>
                            </w:tr>
                            <w:tr w:rsidR="00EF06B6" w:rsidRPr="00A17309" w14:paraId="34F65777" w14:textId="77777777" w:rsidTr="00EF06B6">
                              <w:trPr>
                                <w:trHeight w:val="306"/>
                              </w:trPr>
                              <w:tc>
                                <w:tcPr>
                                  <w:tcW w:w="8550" w:type="dxa"/>
                                  <w:noWrap/>
                                </w:tcPr>
                                <w:p w14:paraId="4EC349E3" w14:textId="48EAD713" w:rsidR="00EF06B6" w:rsidRPr="00B70A2D" w:rsidRDefault="00EF06B6" w:rsidP="00EF06B6">
                                  <w:pPr>
                                    <w:rPr>
                                      <w:rFonts w:ascii="Segoe UI Emoji" w:eastAsia="Arial" w:hAnsi="Segoe UI Emoji" w:cs="Segoe UI Emoji"/>
                                      <w:b/>
                                      <w:color w:val="007A37"/>
                                      <w:sz w:val="22"/>
                                      <w:szCs w:val="22"/>
                                    </w:rPr>
                                  </w:pPr>
                                  <w:r w:rsidRPr="004D391C">
                                    <w:rPr>
                                      <w:rFonts w:ascii="Segoe UI Emoji" w:eastAsia="Arial" w:hAnsi="Segoe UI Emoji" w:cs="Segoe UI Emoji"/>
                                      <w:b/>
                                      <w:color w:val="007A37"/>
                                    </w:rPr>
                                    <w:t>☑</w:t>
                                  </w:r>
                                  <w:r w:rsidRPr="004D391C">
                                    <w:rPr>
                                      <w:rFonts w:eastAsia="Times New Roman"/>
                                    </w:rPr>
                                    <w:t>Support staff</w:t>
                                  </w:r>
                                </w:p>
                              </w:tc>
                            </w:tr>
                            <w:tr w:rsidR="009C5D52" w:rsidRPr="00A17309" w14:paraId="656EB752" w14:textId="77777777" w:rsidTr="00EF06B6">
                              <w:trPr>
                                <w:trHeight w:val="306"/>
                              </w:trPr>
                              <w:tc>
                                <w:tcPr>
                                  <w:tcW w:w="8550" w:type="dxa"/>
                                  <w:noWrap/>
                                </w:tcPr>
                                <w:p w14:paraId="386713C8" w14:textId="7E774C12" w:rsidR="009C5D52" w:rsidRPr="00B70A2D" w:rsidRDefault="009C5D52" w:rsidP="00A17309">
                                  <w:pPr>
                                    <w:rPr>
                                      <w:rFonts w:cstheme="minorHAnsi"/>
                                      <w:b/>
                                      <w:color w:val="FFC000"/>
                                      <w:sz w:val="22"/>
                                      <w:szCs w:val="22"/>
                                    </w:rPr>
                                  </w:pPr>
                                  <w:r w:rsidRPr="00B70A2D">
                                    <w:rPr>
                                      <w:rFonts w:cstheme="minorHAnsi"/>
                                      <w:b/>
                                      <w:color w:val="FFC000"/>
                                      <w:sz w:val="22"/>
                                      <w:szCs w:val="22"/>
                                    </w:rPr>
                                    <w:sym w:font="Wingdings 2" w:char="F09C"/>
                                  </w:r>
                                  <w:r w:rsidRPr="00B70A2D">
                                    <w:rPr>
                                      <w:rFonts w:eastAsia="Arial" w:cstheme="minorHAnsi"/>
                                      <w:b/>
                                      <w:color w:val="FFC000"/>
                                      <w:sz w:val="22"/>
                                      <w:szCs w:val="22"/>
                                    </w:rPr>
                                    <w:t xml:space="preserve"> </w:t>
                                  </w:r>
                                  <w:r w:rsidRPr="004D391C">
                                    <w:rPr>
                                      <w:rFonts w:eastAsia="Times New Roman"/>
                                    </w:rPr>
                                    <w:t>Course tuition and fees (Early College Only)</w:t>
                                  </w:r>
                                </w:p>
                              </w:tc>
                            </w:tr>
                            <w:tr w:rsidR="00A17309" w:rsidRPr="00A17309" w14:paraId="318B50DE" w14:textId="77777777" w:rsidTr="00EF06B6">
                              <w:trPr>
                                <w:trHeight w:val="306"/>
                              </w:trPr>
                              <w:tc>
                                <w:tcPr>
                                  <w:tcW w:w="8550" w:type="dxa"/>
                                  <w:noWrap/>
                                  <w:hideMark/>
                                </w:tcPr>
                                <w:p w14:paraId="79A45CDC" w14:textId="17EA3FA4" w:rsidR="00A17309" w:rsidRPr="00B70A2D" w:rsidRDefault="00643E15" w:rsidP="00A17309">
                                  <w:pPr>
                                    <w:rPr>
                                      <w:rFonts w:eastAsia="Times New Roman"/>
                                      <w:sz w:val="22"/>
                                      <w:szCs w:val="22"/>
                                    </w:rPr>
                                  </w:pPr>
                                  <w:r w:rsidRPr="00B70A2D">
                                    <w:rPr>
                                      <w:rFonts w:cstheme="minorHAnsi"/>
                                      <w:b/>
                                      <w:color w:val="FFC000"/>
                                      <w:sz w:val="22"/>
                                      <w:szCs w:val="22"/>
                                    </w:rPr>
                                    <w:sym w:font="Wingdings 2" w:char="F09C"/>
                                  </w:r>
                                  <w:r w:rsidRPr="00B70A2D">
                                    <w:rPr>
                                      <w:rFonts w:eastAsia="Arial" w:cstheme="minorHAnsi"/>
                                      <w:b/>
                                      <w:color w:val="FFC000"/>
                                      <w:sz w:val="22"/>
                                      <w:szCs w:val="22"/>
                                    </w:rPr>
                                    <w:t xml:space="preserve"> </w:t>
                                  </w:r>
                                  <w:r w:rsidR="00A17309" w:rsidRPr="004D391C">
                                    <w:rPr>
                                      <w:rFonts w:eastAsia="Times New Roman"/>
                                    </w:rPr>
                                    <w:t>Curricular development</w:t>
                                  </w:r>
                                </w:p>
                              </w:tc>
                            </w:tr>
                            <w:tr w:rsidR="00A17309" w:rsidRPr="00A17309" w14:paraId="1B8A5766" w14:textId="77777777" w:rsidTr="00EF06B6">
                              <w:trPr>
                                <w:trHeight w:val="306"/>
                              </w:trPr>
                              <w:tc>
                                <w:tcPr>
                                  <w:tcW w:w="8550" w:type="dxa"/>
                                  <w:noWrap/>
                                  <w:hideMark/>
                                </w:tcPr>
                                <w:p w14:paraId="476F7FE5" w14:textId="160995EE" w:rsidR="00A17309" w:rsidRPr="00B70A2D" w:rsidRDefault="0000510F" w:rsidP="00A17309">
                                  <w:pPr>
                                    <w:rPr>
                                      <w:rFonts w:eastAsia="Times New Roman"/>
                                      <w:sz w:val="22"/>
                                      <w:szCs w:val="22"/>
                                    </w:rPr>
                                  </w:pPr>
                                  <w:r w:rsidRPr="00B70A2D">
                                    <w:rPr>
                                      <w:rFonts w:cstheme="minorHAnsi"/>
                                      <w:b/>
                                      <w:color w:val="FFC000"/>
                                      <w:sz w:val="22"/>
                                      <w:szCs w:val="22"/>
                                    </w:rPr>
                                    <w:sym w:font="Wingdings 2" w:char="F09C"/>
                                  </w:r>
                                  <w:r w:rsidR="00A17309" w:rsidRPr="004D391C">
                                    <w:rPr>
                                      <w:rFonts w:eastAsia="Times New Roman"/>
                                    </w:rPr>
                                    <w:t>Instructional related supplies and materials</w:t>
                                  </w:r>
                                </w:p>
                              </w:tc>
                            </w:tr>
                            <w:tr w:rsidR="00A17309" w:rsidRPr="00A17309" w14:paraId="49616D7D" w14:textId="77777777" w:rsidTr="00EF06B6">
                              <w:trPr>
                                <w:trHeight w:val="306"/>
                              </w:trPr>
                              <w:tc>
                                <w:tcPr>
                                  <w:tcW w:w="8550" w:type="dxa"/>
                                  <w:noWrap/>
                                  <w:hideMark/>
                                </w:tcPr>
                                <w:p w14:paraId="67028B4C" w14:textId="77777777" w:rsidR="009C5D52" w:rsidRPr="00B70A2D" w:rsidRDefault="008F5219" w:rsidP="00A17309">
                                  <w:pPr>
                                    <w:rPr>
                                      <w:rFonts w:eastAsia="Times New Roman"/>
                                      <w:sz w:val="22"/>
                                      <w:szCs w:val="22"/>
                                    </w:rPr>
                                  </w:pPr>
                                  <w:r w:rsidRPr="00B70A2D">
                                    <w:rPr>
                                      <w:rFonts w:cstheme="minorHAnsi"/>
                                      <w:b/>
                                      <w:color w:val="FFC000"/>
                                      <w:sz w:val="22"/>
                                      <w:szCs w:val="22"/>
                                    </w:rPr>
                                    <w:sym w:font="Wingdings 2" w:char="F09C"/>
                                  </w:r>
                                  <w:r w:rsidR="00A17309" w:rsidRPr="004D391C">
                                    <w:rPr>
                                      <w:rFonts w:eastAsia="Times New Roman"/>
                                    </w:rPr>
                                    <w:t>Other materials and supplies-</w:t>
                                  </w:r>
                                </w:p>
                                <w:p w14:paraId="5B2C73A2" w14:textId="0B2AB927" w:rsidR="00A17309" w:rsidRPr="00B70A2D" w:rsidRDefault="00A7175A" w:rsidP="009C5D52">
                                  <w:pPr>
                                    <w:pStyle w:val="ListParagraph"/>
                                    <w:numPr>
                                      <w:ilvl w:val="0"/>
                                      <w:numId w:val="49"/>
                                    </w:numPr>
                                    <w:rPr>
                                      <w:rFonts w:eastAsia="Times New Roman"/>
                                      <w:sz w:val="18"/>
                                      <w:szCs w:val="18"/>
                                    </w:rPr>
                                  </w:pPr>
                                  <w:r w:rsidRPr="00B70A2D">
                                    <w:rPr>
                                      <w:rFonts w:eastAsia="Times New Roman"/>
                                      <w:sz w:val="22"/>
                                      <w:szCs w:val="22"/>
                                    </w:rPr>
                                    <w:t>P</w:t>
                                  </w:r>
                                  <w:r w:rsidR="00A17309" w:rsidRPr="00B70A2D">
                                    <w:rPr>
                                      <w:rFonts w:eastAsia="Times New Roman"/>
                                      <w:sz w:val="22"/>
                                      <w:szCs w:val="22"/>
                                    </w:rPr>
                                    <w:t>romotional/marketing &amp; outreach materials</w:t>
                                  </w:r>
                                </w:p>
                                <w:p w14:paraId="2547AA6A" w14:textId="783B7DB0" w:rsidR="009C5D52" w:rsidRPr="00B70A2D" w:rsidRDefault="00A7175A" w:rsidP="009C5D52">
                                  <w:pPr>
                                    <w:pStyle w:val="ListParagraph"/>
                                    <w:numPr>
                                      <w:ilvl w:val="0"/>
                                      <w:numId w:val="49"/>
                                    </w:numPr>
                                    <w:rPr>
                                      <w:rFonts w:eastAsia="Times New Roman"/>
                                      <w:sz w:val="22"/>
                                      <w:szCs w:val="22"/>
                                    </w:rPr>
                                  </w:pPr>
                                  <w:r w:rsidRPr="00B70A2D">
                                    <w:rPr>
                                      <w:rFonts w:eastAsia="Times New Roman"/>
                                      <w:sz w:val="22"/>
                                      <w:szCs w:val="22"/>
                                    </w:rPr>
                                    <w:t>C</w:t>
                                  </w:r>
                                  <w:r w:rsidR="009C5D52" w:rsidRPr="00B70A2D">
                                    <w:rPr>
                                      <w:rFonts w:eastAsia="Times New Roman"/>
                                      <w:sz w:val="22"/>
                                      <w:szCs w:val="22"/>
                                    </w:rPr>
                                    <w:t>ollege textbook (Early College Only)</w:t>
                                  </w:r>
                                </w:p>
                              </w:tc>
                            </w:tr>
                            <w:tr w:rsidR="009C5D52" w:rsidRPr="00A17309" w14:paraId="5E5ACA21" w14:textId="77777777" w:rsidTr="00EF06B6">
                              <w:trPr>
                                <w:trHeight w:val="306"/>
                              </w:trPr>
                              <w:tc>
                                <w:tcPr>
                                  <w:tcW w:w="8550" w:type="dxa"/>
                                  <w:noWrap/>
                                </w:tcPr>
                                <w:p w14:paraId="56D90327" w14:textId="77A41AC4" w:rsidR="009C5D52" w:rsidRPr="00B70A2D" w:rsidRDefault="009C5D52" w:rsidP="00A17309">
                                  <w:pPr>
                                    <w:rPr>
                                      <w:rFonts w:cstheme="minorHAnsi"/>
                                      <w:b/>
                                      <w:color w:val="FFC000"/>
                                      <w:sz w:val="22"/>
                                      <w:szCs w:val="22"/>
                                    </w:rPr>
                                  </w:pPr>
                                  <w:r w:rsidRPr="00B70A2D">
                                    <w:rPr>
                                      <w:rFonts w:cstheme="minorHAnsi"/>
                                      <w:b/>
                                      <w:color w:val="FFC000"/>
                                      <w:sz w:val="22"/>
                                      <w:szCs w:val="22"/>
                                    </w:rPr>
                                    <w:sym w:font="Wingdings 2" w:char="F09C"/>
                                  </w:r>
                                  <w:r w:rsidRPr="004D391C">
                                    <w:t xml:space="preserve">Recruitment Opportunities for Students – Fees and Travel for Post-Secondary Institution information sessions and recruitment fairs (Early College Only) </w:t>
                                  </w:r>
                                </w:p>
                              </w:tc>
                            </w:tr>
                            <w:tr w:rsidR="00A17309" w:rsidRPr="00A17309" w14:paraId="5F746E04" w14:textId="77777777" w:rsidTr="00EF06B6">
                              <w:trPr>
                                <w:trHeight w:val="306"/>
                              </w:trPr>
                              <w:tc>
                                <w:tcPr>
                                  <w:tcW w:w="8550" w:type="dxa"/>
                                  <w:noWrap/>
                                  <w:hideMark/>
                                </w:tcPr>
                                <w:p w14:paraId="560A2D30" w14:textId="68A3CCE3" w:rsidR="00A17309" w:rsidRPr="00B70A2D" w:rsidRDefault="008F5219" w:rsidP="00A17309">
                                  <w:pPr>
                                    <w:rPr>
                                      <w:rFonts w:eastAsia="Times New Roman"/>
                                      <w:sz w:val="22"/>
                                      <w:szCs w:val="22"/>
                                    </w:rPr>
                                  </w:pPr>
                                  <w:r w:rsidRPr="00B70A2D">
                                    <w:rPr>
                                      <w:rFonts w:cstheme="minorHAnsi"/>
                                      <w:b/>
                                      <w:color w:val="FFC000"/>
                                      <w:sz w:val="22"/>
                                      <w:szCs w:val="22"/>
                                    </w:rPr>
                                    <w:sym w:font="Wingdings 2" w:char="F09C"/>
                                  </w:r>
                                  <w:r w:rsidR="00A17309" w:rsidRPr="004D391C">
                                    <w:rPr>
                                      <w:rFonts w:eastAsia="Times New Roman"/>
                                    </w:rPr>
                                    <w:t>Stipends for staff and faculty</w:t>
                                  </w:r>
                                </w:p>
                              </w:tc>
                            </w:tr>
                            <w:tr w:rsidR="009C5D52" w:rsidRPr="00A17309" w14:paraId="63A2A687" w14:textId="77777777" w:rsidTr="00EF06B6">
                              <w:trPr>
                                <w:trHeight w:val="306"/>
                              </w:trPr>
                              <w:tc>
                                <w:tcPr>
                                  <w:tcW w:w="8550" w:type="dxa"/>
                                  <w:noWrap/>
                                </w:tcPr>
                                <w:p w14:paraId="12A51EFE" w14:textId="71DB61FB" w:rsidR="009C5D52" w:rsidRPr="00B70A2D" w:rsidRDefault="009C5D52" w:rsidP="00A17309">
                                  <w:pPr>
                                    <w:rPr>
                                      <w:rFonts w:cstheme="minorHAnsi"/>
                                      <w:b/>
                                      <w:color w:val="FFC000"/>
                                      <w:sz w:val="22"/>
                                      <w:szCs w:val="22"/>
                                    </w:rPr>
                                  </w:pPr>
                                  <w:r w:rsidRPr="00B70A2D">
                                    <w:rPr>
                                      <w:rFonts w:cstheme="minorHAnsi"/>
                                      <w:b/>
                                      <w:color w:val="FFC000"/>
                                      <w:sz w:val="22"/>
                                      <w:szCs w:val="22"/>
                                    </w:rPr>
                                    <w:sym w:font="Wingdings 2" w:char="F09C"/>
                                  </w:r>
                                  <w:r w:rsidRPr="004D391C">
                                    <w:rPr>
                                      <w:rFonts w:eastAsia="Times New Roman"/>
                                    </w:rPr>
                                    <w:t>Student transportation associated with pathway or designation</w:t>
                                  </w:r>
                                </w:p>
                              </w:tc>
                            </w:tr>
                            <w:tr w:rsidR="00A17309" w:rsidRPr="00A17309" w14:paraId="3D171742" w14:textId="77777777" w:rsidTr="00EF06B6">
                              <w:trPr>
                                <w:trHeight w:val="306"/>
                              </w:trPr>
                              <w:tc>
                                <w:tcPr>
                                  <w:tcW w:w="8550" w:type="dxa"/>
                                  <w:noWrap/>
                                  <w:hideMark/>
                                </w:tcPr>
                                <w:p w14:paraId="28F0E893" w14:textId="78DB511E" w:rsidR="00A17309" w:rsidRPr="00B70A2D" w:rsidRDefault="0000510F" w:rsidP="00A17309">
                                  <w:pPr>
                                    <w:rPr>
                                      <w:rFonts w:eastAsia="Times New Roman"/>
                                      <w:sz w:val="22"/>
                                      <w:szCs w:val="22"/>
                                    </w:rPr>
                                  </w:pPr>
                                  <w:r w:rsidRPr="00B70A2D">
                                    <w:rPr>
                                      <w:rFonts w:cstheme="minorHAnsi"/>
                                      <w:b/>
                                      <w:color w:val="FFC000"/>
                                      <w:sz w:val="22"/>
                                      <w:szCs w:val="22"/>
                                    </w:rPr>
                                    <w:sym w:font="Wingdings 2" w:char="F09C"/>
                                  </w:r>
                                  <w:r w:rsidR="00A17309" w:rsidRPr="004D391C">
                                    <w:rPr>
                                      <w:rFonts w:eastAsia="Times New Roman"/>
                                    </w:rPr>
                                    <w:t xml:space="preserve">Travel related to the pathway </w:t>
                                  </w:r>
                                </w:p>
                              </w:tc>
                            </w:tr>
                          </w:tbl>
                          <w:p w14:paraId="7BAAD6FE" w14:textId="20364202" w:rsidR="008A6B65" w:rsidRDefault="008A6B65" w:rsidP="00B70A2D">
                            <w:pPr>
                              <w:spacing w:after="0" w:line="240" w:lineRule="auto"/>
                              <w:rPr>
                                <w:rFonts w:eastAsia="Times New Roman"/>
                              </w:rPr>
                            </w:pPr>
                          </w:p>
                          <w:p w14:paraId="5C8F0105" w14:textId="77777777" w:rsidR="008A6B65" w:rsidRPr="007E249A" w:rsidRDefault="008A6B65" w:rsidP="007E249A">
                            <w:pPr>
                              <w:spacing w:after="0" w:line="240" w:lineRule="auto"/>
                              <w:ind w:left="360"/>
                              <w:rPr>
                                <w:rFonts w:eastAsia="Times New Roman"/>
                              </w:rPr>
                            </w:pPr>
                          </w:p>
                          <w:p w14:paraId="1A96EA59" w14:textId="205C709E" w:rsidR="007E249A" w:rsidRPr="006B2ABE" w:rsidRDefault="007E249A" w:rsidP="007E249A">
                            <w:pPr>
                              <w:spacing w:line="240" w:lineRule="auto"/>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70853" id="_x0000_s1031" type="#_x0000_t202" style="position:absolute;margin-left:43.3pt;margin-top:18.55pt;width:444.5pt;height:292.1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" strokecolor="#365f91 [2404]" strokeweight=".25pt">
                <v:shadow on="t" color="black" opacity="26214f" origin="-.5,-.5" offset=".74836mm,.74836mm"/>
                <v:textbox>
                  <w:txbxContent>
                    <w:p w14:paraId="1D1A2FC7" w14:textId="068D3EF5" w:rsidR="007E249A" w:rsidRPr="007E249A" w:rsidRDefault="00A17309" w:rsidP="007E249A">
                      <w:pPr>
                        <w:spacing w:after="0"/>
                        <w:rPr>
                          <w:b/>
                          <w:color w:val="1F497D" w:themeColor="text2"/>
                          <w:sz w:val="24"/>
                          <w:szCs w:val="28"/>
                        </w:rPr>
                      </w:pPr>
                      <w:r>
                        <w:rPr>
                          <w:b/>
                          <w:color w:val="1F497D" w:themeColor="text2"/>
                          <w:sz w:val="24"/>
                          <w:szCs w:val="28"/>
                        </w:rPr>
                        <w:t xml:space="preserve">POTENTIAL </w:t>
                      </w:r>
                      <w:r w:rsidR="007E249A">
                        <w:rPr>
                          <w:b/>
                          <w:color w:val="1F497D" w:themeColor="text2"/>
                          <w:sz w:val="24"/>
                          <w:szCs w:val="28"/>
                        </w:rPr>
                        <w:t>COSTS FOR INNOVATION PATHWAY</w:t>
                      </w:r>
                      <w:r w:rsidR="009C5D52">
                        <w:rPr>
                          <w:b/>
                          <w:color w:val="1F497D" w:themeColor="text2"/>
                          <w:sz w:val="24"/>
                          <w:szCs w:val="28"/>
                        </w:rPr>
                        <w:t>S AND EARLY COLLEGE DESIGNATION</w:t>
                      </w:r>
                    </w:p>
                    <w:tbl>
                      <w:tblPr>
                        <w:tblStyle w:val="TableGrid"/>
                        <w:tblW w:w="85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tblGrid>
                      <w:tr w:rsidR="00A17309" w:rsidRPr="00A17309" w14:paraId="19234896" w14:textId="77777777" w:rsidTr="00EF06B6">
                        <w:trPr>
                          <w:trHeight w:val="306"/>
                        </w:trPr>
                        <w:tc>
                          <w:tcPr>
                            <w:tcW w:w="8550" w:type="dxa"/>
                            <w:noWrap/>
                            <w:hideMark/>
                          </w:tcPr>
                          <w:p w14:paraId="028ECBA4" w14:textId="50B42CE1" w:rsidR="00A17309" w:rsidRPr="00B70A2D" w:rsidRDefault="008F5219" w:rsidP="00A17309">
                            <w:pPr>
                              <w:rPr>
                                <w:rFonts w:eastAsia="Times New Roman"/>
                                <w:sz w:val="22"/>
                                <w:szCs w:val="22"/>
                              </w:rPr>
                            </w:pPr>
                            <w:r w:rsidRPr="004D391C">
                              <w:rPr>
                                <w:rFonts w:ascii="Segoe UI Emoji" w:eastAsia="Arial" w:hAnsi="Segoe UI Emoji" w:cs="Segoe UI Emoji"/>
                                <w:b/>
                                <w:color w:val="007A37"/>
                              </w:rPr>
                              <w:t>☑</w:t>
                            </w:r>
                            <w:r w:rsidR="00A17309" w:rsidRPr="004D391C">
                              <w:rPr>
                                <w:rFonts w:eastAsia="Times New Roman"/>
                              </w:rPr>
                              <w:t>Contractual services - coaching and consultation associated with t</w:t>
                            </w:r>
                            <w:r w:rsidR="009C5D52" w:rsidRPr="004D391C">
                              <w:rPr>
                                <w:rFonts w:eastAsia="Times New Roman"/>
                              </w:rPr>
                              <w:t>he designation</w:t>
                            </w:r>
                          </w:p>
                          <w:p w14:paraId="70D43C89" w14:textId="75DE9CEE" w:rsidR="008D0EE2" w:rsidRPr="00B70A2D" w:rsidRDefault="008D0EE2" w:rsidP="00CE7ADA">
                            <w:pPr>
                              <w:pStyle w:val="ListParagraph"/>
                              <w:numPr>
                                <w:ilvl w:val="0"/>
                                <w:numId w:val="49"/>
                              </w:numPr>
                              <w:rPr>
                                <w:rFonts w:eastAsia="Times New Roman"/>
                                <w:sz w:val="22"/>
                                <w:szCs w:val="22"/>
                              </w:rPr>
                            </w:pPr>
                            <w:r w:rsidRPr="004D391C">
                              <w:rPr>
                                <w:rFonts w:eastAsia="Times New Roman"/>
                              </w:rPr>
                              <w:t>Translation services</w:t>
                            </w:r>
                          </w:p>
                        </w:tc>
                      </w:tr>
                      <w:tr w:rsidR="00EF06B6" w:rsidRPr="00A17309" w14:paraId="26C04F25" w14:textId="77777777" w:rsidTr="00EF06B6">
                        <w:trPr>
                          <w:trHeight w:val="306"/>
                        </w:trPr>
                        <w:tc>
                          <w:tcPr>
                            <w:tcW w:w="8550" w:type="dxa"/>
                            <w:noWrap/>
                          </w:tcPr>
                          <w:p w14:paraId="4A868C47" w14:textId="40D37E5B" w:rsidR="00EF06B6" w:rsidRPr="00B70A2D" w:rsidRDefault="00EF06B6" w:rsidP="00A17309">
                            <w:pPr>
                              <w:rPr>
                                <w:rFonts w:ascii="Segoe UI Emoji" w:eastAsia="Arial" w:hAnsi="Segoe UI Emoji" w:cs="Segoe UI Emoji"/>
                                <w:b/>
                                <w:color w:val="007A37"/>
                                <w:sz w:val="22"/>
                                <w:szCs w:val="22"/>
                              </w:rPr>
                            </w:pPr>
                            <w:r w:rsidRPr="004D391C">
                              <w:rPr>
                                <w:rFonts w:ascii="Segoe UI Emoji" w:eastAsia="Arial" w:hAnsi="Segoe UI Emoji" w:cs="Segoe UI Emoji"/>
                                <w:b/>
                                <w:color w:val="007A37"/>
                              </w:rPr>
                              <w:t>☑</w:t>
                            </w:r>
                            <w:r w:rsidRPr="004D391C">
                              <w:rPr>
                                <w:rFonts w:eastAsia="Times New Roman"/>
                              </w:rPr>
                              <w:t>Professional development</w:t>
                            </w:r>
                          </w:p>
                        </w:tc>
                      </w:tr>
                      <w:tr w:rsidR="00EF06B6" w:rsidRPr="00A17309" w14:paraId="08BFAF61" w14:textId="77777777" w:rsidTr="00EF06B6">
                        <w:trPr>
                          <w:trHeight w:val="306"/>
                        </w:trPr>
                        <w:tc>
                          <w:tcPr>
                            <w:tcW w:w="8550" w:type="dxa"/>
                            <w:noWrap/>
                          </w:tcPr>
                          <w:p w14:paraId="375DCE6D" w14:textId="77777777" w:rsidR="00EF06B6" w:rsidRPr="00B70A2D" w:rsidRDefault="00EF06B6" w:rsidP="00EF06B6">
                            <w:pPr>
                              <w:rPr>
                                <w:rFonts w:eastAsia="Times New Roman"/>
                                <w:sz w:val="22"/>
                                <w:szCs w:val="22"/>
                              </w:rPr>
                            </w:pPr>
                            <w:r w:rsidRPr="004D391C">
                              <w:rPr>
                                <w:rFonts w:ascii="Segoe UI Emoji" w:eastAsia="Arial" w:hAnsi="Segoe UI Emoji" w:cs="Segoe UI Emoji"/>
                                <w:b/>
                                <w:color w:val="007A37"/>
                              </w:rPr>
                              <w:t>☑</w:t>
                            </w:r>
                            <w:r w:rsidRPr="004D391C">
                              <w:rPr>
                                <w:rFonts w:eastAsia="Times New Roman"/>
                              </w:rPr>
                              <w:t>Program Administration and Coordination</w:t>
                            </w:r>
                          </w:p>
                          <w:p w14:paraId="24C50E0E" w14:textId="77777777" w:rsidR="00EF06B6" w:rsidRPr="00B70A2D" w:rsidRDefault="00EF06B6" w:rsidP="00EF06B6">
                            <w:pPr>
                              <w:pStyle w:val="ListParagraph"/>
                              <w:numPr>
                                <w:ilvl w:val="0"/>
                                <w:numId w:val="49"/>
                              </w:numPr>
                              <w:rPr>
                                <w:rFonts w:eastAsia="Times New Roman"/>
                                <w:sz w:val="18"/>
                                <w:szCs w:val="18"/>
                              </w:rPr>
                            </w:pPr>
                            <w:r w:rsidRPr="00B70A2D">
                              <w:rPr>
                                <w:rFonts w:eastAsia="Times New Roman"/>
                                <w:sz w:val="22"/>
                                <w:szCs w:val="22"/>
                              </w:rPr>
                              <w:t>Engagement with industry</w:t>
                            </w:r>
                          </w:p>
                          <w:p w14:paraId="00639E61" w14:textId="36B8FC7D" w:rsidR="00EF06B6" w:rsidRPr="00B70A2D" w:rsidRDefault="00EF06B6" w:rsidP="00B70A2D">
                            <w:pPr>
                              <w:pStyle w:val="ListParagraph"/>
                              <w:numPr>
                                <w:ilvl w:val="0"/>
                                <w:numId w:val="49"/>
                              </w:numPr>
                              <w:rPr>
                                <w:rFonts w:ascii="Segoe UI Emoji" w:eastAsia="Arial" w:hAnsi="Segoe UI Emoji" w:cs="Segoe UI Emoji"/>
                                <w:b/>
                                <w:color w:val="007A37"/>
                                <w:sz w:val="22"/>
                                <w:szCs w:val="22"/>
                              </w:rPr>
                            </w:pPr>
                            <w:r w:rsidRPr="00B70A2D">
                              <w:rPr>
                                <w:rFonts w:eastAsia="Times New Roman"/>
                                <w:sz w:val="22"/>
                                <w:szCs w:val="22"/>
                              </w:rPr>
                              <w:t>Providing work-based learning opportunities for students</w:t>
                            </w:r>
                          </w:p>
                        </w:tc>
                      </w:tr>
                      <w:tr w:rsidR="00EF06B6" w:rsidRPr="00A17309" w14:paraId="34F65777" w14:textId="77777777" w:rsidTr="00EF06B6">
                        <w:trPr>
                          <w:trHeight w:val="306"/>
                        </w:trPr>
                        <w:tc>
                          <w:tcPr>
                            <w:tcW w:w="8550" w:type="dxa"/>
                            <w:noWrap/>
                          </w:tcPr>
                          <w:p w14:paraId="4EC349E3" w14:textId="48EAD713" w:rsidR="00EF06B6" w:rsidRPr="00B70A2D" w:rsidRDefault="00EF06B6" w:rsidP="00EF06B6">
                            <w:pPr>
                              <w:rPr>
                                <w:rFonts w:ascii="Segoe UI Emoji" w:eastAsia="Arial" w:hAnsi="Segoe UI Emoji" w:cs="Segoe UI Emoji"/>
                                <w:b/>
                                <w:color w:val="007A37"/>
                                <w:sz w:val="22"/>
                                <w:szCs w:val="22"/>
                              </w:rPr>
                            </w:pPr>
                            <w:r w:rsidRPr="004D391C">
                              <w:rPr>
                                <w:rFonts w:ascii="Segoe UI Emoji" w:eastAsia="Arial" w:hAnsi="Segoe UI Emoji" w:cs="Segoe UI Emoji"/>
                                <w:b/>
                                <w:color w:val="007A37"/>
                              </w:rPr>
                              <w:t>☑</w:t>
                            </w:r>
                            <w:r w:rsidRPr="004D391C">
                              <w:rPr>
                                <w:rFonts w:eastAsia="Times New Roman"/>
                              </w:rPr>
                              <w:t>Support staff</w:t>
                            </w:r>
                          </w:p>
                        </w:tc>
                      </w:tr>
                      <w:tr w:rsidR="009C5D52" w:rsidRPr="00A17309" w14:paraId="656EB752" w14:textId="77777777" w:rsidTr="00EF06B6">
                        <w:trPr>
                          <w:trHeight w:val="306"/>
                        </w:trPr>
                        <w:tc>
                          <w:tcPr>
                            <w:tcW w:w="8550" w:type="dxa"/>
                            <w:noWrap/>
                          </w:tcPr>
                          <w:p w14:paraId="386713C8" w14:textId="7E774C12" w:rsidR="009C5D52" w:rsidRPr="00B70A2D" w:rsidRDefault="009C5D52" w:rsidP="00A17309">
                            <w:pPr>
                              <w:rPr>
                                <w:rFonts w:cstheme="minorHAnsi"/>
                                <w:b/>
                                <w:color w:val="FFC000"/>
                                <w:sz w:val="22"/>
                                <w:szCs w:val="22"/>
                              </w:rPr>
                            </w:pPr>
                            <w:r w:rsidRPr="00B70A2D">
                              <w:rPr>
                                <w:rFonts w:cstheme="minorHAnsi"/>
                                <w:b/>
                                <w:color w:val="FFC000"/>
                                <w:sz w:val="22"/>
                                <w:szCs w:val="22"/>
                              </w:rPr>
                              <w:sym w:font="Wingdings 2" w:char="F09C"/>
                            </w:r>
                            <w:r w:rsidRPr="00B70A2D">
                              <w:rPr>
                                <w:rFonts w:eastAsia="Arial" w:cstheme="minorHAnsi"/>
                                <w:b/>
                                <w:color w:val="FFC000"/>
                                <w:sz w:val="22"/>
                                <w:szCs w:val="22"/>
                              </w:rPr>
                              <w:t xml:space="preserve"> </w:t>
                            </w:r>
                            <w:r w:rsidRPr="004D391C">
                              <w:rPr>
                                <w:rFonts w:eastAsia="Times New Roman"/>
                              </w:rPr>
                              <w:t>Course tuition and fees (Early College Only)</w:t>
                            </w:r>
                          </w:p>
                        </w:tc>
                      </w:tr>
                      <w:tr w:rsidR="00A17309" w:rsidRPr="00A17309" w14:paraId="318B50DE" w14:textId="77777777" w:rsidTr="00EF06B6">
                        <w:trPr>
                          <w:trHeight w:val="306"/>
                        </w:trPr>
                        <w:tc>
                          <w:tcPr>
                            <w:tcW w:w="8550" w:type="dxa"/>
                            <w:noWrap/>
                            <w:hideMark/>
                          </w:tcPr>
                          <w:p w14:paraId="79A45CDC" w14:textId="17EA3FA4" w:rsidR="00A17309" w:rsidRPr="00B70A2D" w:rsidRDefault="00643E15" w:rsidP="00A17309">
                            <w:pPr>
                              <w:rPr>
                                <w:rFonts w:eastAsia="Times New Roman"/>
                                <w:sz w:val="22"/>
                                <w:szCs w:val="22"/>
                              </w:rPr>
                            </w:pPr>
                            <w:r w:rsidRPr="00B70A2D">
                              <w:rPr>
                                <w:rFonts w:cstheme="minorHAnsi"/>
                                <w:b/>
                                <w:color w:val="FFC000"/>
                                <w:sz w:val="22"/>
                                <w:szCs w:val="22"/>
                              </w:rPr>
                              <w:sym w:font="Wingdings 2" w:char="F09C"/>
                            </w:r>
                            <w:r w:rsidRPr="00B70A2D">
                              <w:rPr>
                                <w:rFonts w:eastAsia="Arial" w:cstheme="minorHAnsi"/>
                                <w:b/>
                                <w:color w:val="FFC000"/>
                                <w:sz w:val="22"/>
                                <w:szCs w:val="22"/>
                              </w:rPr>
                              <w:t xml:space="preserve"> </w:t>
                            </w:r>
                            <w:r w:rsidR="00A17309" w:rsidRPr="004D391C">
                              <w:rPr>
                                <w:rFonts w:eastAsia="Times New Roman"/>
                              </w:rPr>
                              <w:t>Curricular development</w:t>
                            </w:r>
                          </w:p>
                        </w:tc>
                      </w:tr>
                      <w:tr w:rsidR="00A17309" w:rsidRPr="00A17309" w14:paraId="1B8A5766" w14:textId="77777777" w:rsidTr="00EF06B6">
                        <w:trPr>
                          <w:trHeight w:val="306"/>
                        </w:trPr>
                        <w:tc>
                          <w:tcPr>
                            <w:tcW w:w="8550" w:type="dxa"/>
                            <w:noWrap/>
                            <w:hideMark/>
                          </w:tcPr>
                          <w:p w14:paraId="476F7FE5" w14:textId="160995EE" w:rsidR="00A17309" w:rsidRPr="00B70A2D" w:rsidRDefault="0000510F" w:rsidP="00A17309">
                            <w:pPr>
                              <w:rPr>
                                <w:rFonts w:eastAsia="Times New Roman"/>
                                <w:sz w:val="22"/>
                                <w:szCs w:val="22"/>
                              </w:rPr>
                            </w:pPr>
                            <w:r w:rsidRPr="00B70A2D">
                              <w:rPr>
                                <w:rFonts w:cstheme="minorHAnsi"/>
                                <w:b/>
                                <w:color w:val="FFC000"/>
                                <w:sz w:val="22"/>
                                <w:szCs w:val="22"/>
                              </w:rPr>
                              <w:sym w:font="Wingdings 2" w:char="F09C"/>
                            </w:r>
                            <w:r w:rsidR="00A17309" w:rsidRPr="004D391C">
                              <w:rPr>
                                <w:rFonts w:eastAsia="Times New Roman"/>
                              </w:rPr>
                              <w:t>Instructional related supplies and materials</w:t>
                            </w:r>
                          </w:p>
                        </w:tc>
                      </w:tr>
                      <w:tr w:rsidR="00A17309" w:rsidRPr="00A17309" w14:paraId="49616D7D" w14:textId="77777777" w:rsidTr="00EF06B6">
                        <w:trPr>
                          <w:trHeight w:val="306"/>
                        </w:trPr>
                        <w:tc>
                          <w:tcPr>
                            <w:tcW w:w="8550" w:type="dxa"/>
                            <w:noWrap/>
                            <w:hideMark/>
                          </w:tcPr>
                          <w:p w14:paraId="67028B4C" w14:textId="77777777" w:rsidR="009C5D52" w:rsidRPr="00B70A2D" w:rsidRDefault="008F5219" w:rsidP="00A17309">
                            <w:pPr>
                              <w:rPr>
                                <w:rFonts w:eastAsia="Times New Roman"/>
                                <w:sz w:val="22"/>
                                <w:szCs w:val="22"/>
                              </w:rPr>
                            </w:pPr>
                            <w:r w:rsidRPr="00B70A2D">
                              <w:rPr>
                                <w:rFonts w:cstheme="minorHAnsi"/>
                                <w:b/>
                                <w:color w:val="FFC000"/>
                                <w:sz w:val="22"/>
                                <w:szCs w:val="22"/>
                              </w:rPr>
                              <w:sym w:font="Wingdings 2" w:char="F09C"/>
                            </w:r>
                            <w:r w:rsidR="00A17309" w:rsidRPr="004D391C">
                              <w:rPr>
                                <w:rFonts w:eastAsia="Times New Roman"/>
                              </w:rPr>
                              <w:t>Other materials and supplies-</w:t>
                            </w:r>
                          </w:p>
                          <w:p w14:paraId="5B2C73A2" w14:textId="0B2AB927" w:rsidR="00A17309" w:rsidRPr="00B70A2D" w:rsidRDefault="00A7175A" w:rsidP="009C5D52">
                            <w:pPr>
                              <w:pStyle w:val="ListParagraph"/>
                              <w:numPr>
                                <w:ilvl w:val="0"/>
                                <w:numId w:val="49"/>
                              </w:numPr>
                              <w:rPr>
                                <w:rFonts w:eastAsia="Times New Roman"/>
                                <w:sz w:val="18"/>
                                <w:szCs w:val="18"/>
                              </w:rPr>
                            </w:pPr>
                            <w:r w:rsidRPr="00B70A2D">
                              <w:rPr>
                                <w:rFonts w:eastAsia="Times New Roman"/>
                                <w:sz w:val="22"/>
                                <w:szCs w:val="22"/>
                              </w:rPr>
                              <w:t>P</w:t>
                            </w:r>
                            <w:r w:rsidR="00A17309" w:rsidRPr="00B70A2D">
                              <w:rPr>
                                <w:rFonts w:eastAsia="Times New Roman"/>
                                <w:sz w:val="22"/>
                                <w:szCs w:val="22"/>
                              </w:rPr>
                              <w:t>romotional/marketing &amp; outreach materials</w:t>
                            </w:r>
                          </w:p>
                          <w:p w14:paraId="2547AA6A" w14:textId="783B7DB0" w:rsidR="009C5D52" w:rsidRPr="00B70A2D" w:rsidRDefault="00A7175A" w:rsidP="009C5D52">
                            <w:pPr>
                              <w:pStyle w:val="ListParagraph"/>
                              <w:numPr>
                                <w:ilvl w:val="0"/>
                                <w:numId w:val="49"/>
                              </w:numPr>
                              <w:rPr>
                                <w:rFonts w:eastAsia="Times New Roman"/>
                                <w:sz w:val="22"/>
                                <w:szCs w:val="22"/>
                              </w:rPr>
                            </w:pPr>
                            <w:r w:rsidRPr="00B70A2D">
                              <w:rPr>
                                <w:rFonts w:eastAsia="Times New Roman"/>
                                <w:sz w:val="22"/>
                                <w:szCs w:val="22"/>
                              </w:rPr>
                              <w:t>C</w:t>
                            </w:r>
                            <w:r w:rsidR="009C5D52" w:rsidRPr="00B70A2D">
                              <w:rPr>
                                <w:rFonts w:eastAsia="Times New Roman"/>
                                <w:sz w:val="22"/>
                                <w:szCs w:val="22"/>
                              </w:rPr>
                              <w:t>ollege textbook (Early College Only)</w:t>
                            </w:r>
                          </w:p>
                        </w:tc>
                      </w:tr>
                      <w:tr w:rsidR="009C5D52" w:rsidRPr="00A17309" w14:paraId="5E5ACA21" w14:textId="77777777" w:rsidTr="00EF06B6">
                        <w:trPr>
                          <w:trHeight w:val="306"/>
                        </w:trPr>
                        <w:tc>
                          <w:tcPr>
                            <w:tcW w:w="8550" w:type="dxa"/>
                            <w:noWrap/>
                          </w:tcPr>
                          <w:p w14:paraId="56D90327" w14:textId="77A41AC4" w:rsidR="009C5D52" w:rsidRPr="00B70A2D" w:rsidRDefault="009C5D52" w:rsidP="00A17309">
                            <w:pPr>
                              <w:rPr>
                                <w:rFonts w:cstheme="minorHAnsi"/>
                                <w:b/>
                                <w:color w:val="FFC000"/>
                                <w:sz w:val="22"/>
                                <w:szCs w:val="22"/>
                              </w:rPr>
                            </w:pPr>
                            <w:r w:rsidRPr="00B70A2D">
                              <w:rPr>
                                <w:rFonts w:cstheme="minorHAnsi"/>
                                <w:b/>
                                <w:color w:val="FFC000"/>
                                <w:sz w:val="22"/>
                                <w:szCs w:val="22"/>
                              </w:rPr>
                              <w:sym w:font="Wingdings 2" w:char="F09C"/>
                            </w:r>
                            <w:r w:rsidRPr="004D391C">
                              <w:t xml:space="preserve">Recruitment Opportunities for Students – Fees and Travel for Post-Secondary Institution information sessions and recruitment fairs (Early College Only) </w:t>
                            </w:r>
                          </w:p>
                        </w:tc>
                      </w:tr>
                      <w:tr w:rsidR="00A17309" w:rsidRPr="00A17309" w14:paraId="5F746E04" w14:textId="77777777" w:rsidTr="00EF06B6">
                        <w:trPr>
                          <w:trHeight w:val="306"/>
                        </w:trPr>
                        <w:tc>
                          <w:tcPr>
                            <w:tcW w:w="8550" w:type="dxa"/>
                            <w:noWrap/>
                            <w:hideMark/>
                          </w:tcPr>
                          <w:p w14:paraId="560A2D30" w14:textId="68A3CCE3" w:rsidR="00A17309" w:rsidRPr="00B70A2D" w:rsidRDefault="008F5219" w:rsidP="00A17309">
                            <w:pPr>
                              <w:rPr>
                                <w:rFonts w:eastAsia="Times New Roman"/>
                                <w:sz w:val="22"/>
                                <w:szCs w:val="22"/>
                              </w:rPr>
                            </w:pPr>
                            <w:r w:rsidRPr="00B70A2D">
                              <w:rPr>
                                <w:rFonts w:cstheme="minorHAnsi"/>
                                <w:b/>
                                <w:color w:val="FFC000"/>
                                <w:sz w:val="22"/>
                                <w:szCs w:val="22"/>
                              </w:rPr>
                              <w:sym w:font="Wingdings 2" w:char="F09C"/>
                            </w:r>
                            <w:r w:rsidR="00A17309" w:rsidRPr="004D391C">
                              <w:rPr>
                                <w:rFonts w:eastAsia="Times New Roman"/>
                              </w:rPr>
                              <w:t>Stipends for staff and faculty</w:t>
                            </w:r>
                          </w:p>
                        </w:tc>
                      </w:tr>
                      <w:tr w:rsidR="009C5D52" w:rsidRPr="00A17309" w14:paraId="63A2A687" w14:textId="77777777" w:rsidTr="00EF06B6">
                        <w:trPr>
                          <w:trHeight w:val="306"/>
                        </w:trPr>
                        <w:tc>
                          <w:tcPr>
                            <w:tcW w:w="8550" w:type="dxa"/>
                            <w:noWrap/>
                          </w:tcPr>
                          <w:p w14:paraId="12A51EFE" w14:textId="71DB61FB" w:rsidR="009C5D52" w:rsidRPr="00B70A2D" w:rsidRDefault="009C5D52" w:rsidP="00A17309">
                            <w:pPr>
                              <w:rPr>
                                <w:rFonts w:cstheme="minorHAnsi"/>
                                <w:b/>
                                <w:color w:val="FFC000"/>
                                <w:sz w:val="22"/>
                                <w:szCs w:val="22"/>
                              </w:rPr>
                            </w:pPr>
                            <w:r w:rsidRPr="00B70A2D">
                              <w:rPr>
                                <w:rFonts w:cstheme="minorHAnsi"/>
                                <w:b/>
                                <w:color w:val="FFC000"/>
                                <w:sz w:val="22"/>
                                <w:szCs w:val="22"/>
                              </w:rPr>
                              <w:sym w:font="Wingdings 2" w:char="F09C"/>
                            </w:r>
                            <w:r w:rsidRPr="004D391C">
                              <w:rPr>
                                <w:rFonts w:eastAsia="Times New Roman"/>
                              </w:rPr>
                              <w:t>Student transportation associated with pathway or designation</w:t>
                            </w:r>
                          </w:p>
                        </w:tc>
                      </w:tr>
                      <w:tr w:rsidR="00A17309" w:rsidRPr="00A17309" w14:paraId="3D171742" w14:textId="77777777" w:rsidTr="00EF06B6">
                        <w:trPr>
                          <w:trHeight w:val="306"/>
                        </w:trPr>
                        <w:tc>
                          <w:tcPr>
                            <w:tcW w:w="8550" w:type="dxa"/>
                            <w:noWrap/>
                            <w:hideMark/>
                          </w:tcPr>
                          <w:p w14:paraId="28F0E893" w14:textId="78DB511E" w:rsidR="00A17309" w:rsidRPr="00B70A2D" w:rsidRDefault="0000510F" w:rsidP="00A17309">
                            <w:pPr>
                              <w:rPr>
                                <w:rFonts w:eastAsia="Times New Roman"/>
                                <w:sz w:val="22"/>
                                <w:szCs w:val="22"/>
                              </w:rPr>
                            </w:pPr>
                            <w:r w:rsidRPr="00B70A2D">
                              <w:rPr>
                                <w:rFonts w:cstheme="minorHAnsi"/>
                                <w:b/>
                                <w:color w:val="FFC000"/>
                                <w:sz w:val="22"/>
                                <w:szCs w:val="22"/>
                              </w:rPr>
                              <w:sym w:font="Wingdings 2" w:char="F09C"/>
                            </w:r>
                            <w:r w:rsidR="00A17309" w:rsidRPr="004D391C">
                              <w:rPr>
                                <w:rFonts w:eastAsia="Times New Roman"/>
                              </w:rPr>
                              <w:t xml:space="preserve">Travel related to the pathway </w:t>
                            </w:r>
                          </w:p>
                        </w:tc>
                      </w:tr>
                    </w:tbl>
                    <w:p w14:paraId="7BAAD6FE" w14:textId="20364202" w:rsidR="008A6B65" w:rsidRDefault="008A6B65" w:rsidP="00B70A2D">
                      <w:pPr>
                        <w:spacing w:after="0" w:line="240" w:lineRule="auto"/>
                        <w:rPr>
                          <w:rFonts w:eastAsia="Times New Roman"/>
                        </w:rPr>
                      </w:pPr>
                    </w:p>
                    <w:p w14:paraId="5C8F0105" w14:textId="77777777" w:rsidR="008A6B65" w:rsidRPr="007E249A" w:rsidRDefault="008A6B65" w:rsidP="007E249A">
                      <w:pPr>
                        <w:spacing w:after="0" w:line="240" w:lineRule="auto"/>
                        <w:ind w:left="360"/>
                        <w:rPr>
                          <w:rFonts w:eastAsia="Times New Roman"/>
                        </w:rPr>
                      </w:pPr>
                    </w:p>
                    <w:p w14:paraId="1A96EA59" w14:textId="205C709E" w:rsidR="007E249A" w:rsidRPr="006B2ABE" w:rsidRDefault="007E249A" w:rsidP="007E249A">
                      <w:pPr>
                        <w:spacing w:line="240" w:lineRule="auto"/>
                        <w:rPr>
                          <w:szCs w:val="24"/>
                        </w:rPr>
                      </w:pPr>
                    </w:p>
                  </w:txbxContent>
                </v:textbox>
                <w10:wrap anchorx="margin"/>
              </v:shape>
            </w:pict>
          </mc:Fallback>
        </mc:AlternateContent>
      </w:r>
    </w:p>
    <w:p w14:paraId="055FDF17" w14:textId="1E238299" w:rsidR="007E249A" w:rsidRDefault="007E249A" w:rsidP="00073356">
      <w:pPr>
        <w:spacing w:before="120" w:line="240" w:lineRule="auto"/>
        <w:rPr>
          <w:b/>
          <w:color w:val="1F497D" w:themeColor="text2"/>
          <w:sz w:val="24"/>
          <w:szCs w:val="24"/>
          <w:highlight w:val="yellow"/>
        </w:rPr>
      </w:pPr>
    </w:p>
    <w:p w14:paraId="362976A8" w14:textId="2161E955" w:rsidR="007E249A" w:rsidRDefault="007E249A" w:rsidP="00073356">
      <w:pPr>
        <w:spacing w:before="120" w:line="240" w:lineRule="auto"/>
        <w:rPr>
          <w:b/>
          <w:color w:val="1F497D" w:themeColor="text2"/>
          <w:sz w:val="24"/>
          <w:szCs w:val="24"/>
          <w:highlight w:val="yellow"/>
        </w:rPr>
      </w:pPr>
    </w:p>
    <w:p w14:paraId="494913CA" w14:textId="77777777" w:rsidR="007E249A" w:rsidRDefault="007E249A" w:rsidP="00073356">
      <w:pPr>
        <w:spacing w:before="120" w:line="240" w:lineRule="auto"/>
        <w:rPr>
          <w:b/>
          <w:color w:val="1F497D" w:themeColor="text2"/>
          <w:sz w:val="24"/>
          <w:szCs w:val="24"/>
          <w:highlight w:val="yellow"/>
        </w:rPr>
      </w:pPr>
    </w:p>
    <w:p w14:paraId="084826D6" w14:textId="77777777" w:rsidR="007E249A" w:rsidRDefault="007E249A" w:rsidP="00073356">
      <w:pPr>
        <w:spacing w:before="120" w:line="240" w:lineRule="auto"/>
        <w:rPr>
          <w:b/>
          <w:color w:val="1F497D" w:themeColor="text2"/>
          <w:sz w:val="24"/>
          <w:szCs w:val="24"/>
          <w:highlight w:val="yellow"/>
        </w:rPr>
      </w:pPr>
    </w:p>
    <w:p w14:paraId="3C1CF61B" w14:textId="77777777" w:rsidR="007E249A" w:rsidRDefault="007E249A" w:rsidP="00073356">
      <w:pPr>
        <w:spacing w:before="120" w:line="240" w:lineRule="auto"/>
        <w:rPr>
          <w:b/>
          <w:color w:val="1F497D" w:themeColor="text2"/>
          <w:sz w:val="24"/>
          <w:szCs w:val="24"/>
          <w:highlight w:val="yellow"/>
        </w:rPr>
      </w:pPr>
    </w:p>
    <w:p w14:paraId="0FA5145C" w14:textId="77777777" w:rsidR="007E249A" w:rsidRDefault="007E249A" w:rsidP="00073356">
      <w:pPr>
        <w:spacing w:before="120" w:line="240" w:lineRule="auto"/>
        <w:rPr>
          <w:b/>
          <w:color w:val="1F497D" w:themeColor="text2"/>
          <w:sz w:val="24"/>
          <w:szCs w:val="24"/>
          <w:highlight w:val="yellow"/>
        </w:rPr>
      </w:pPr>
    </w:p>
    <w:p w14:paraId="7920ABFF" w14:textId="77777777" w:rsidR="007E249A" w:rsidRDefault="007E249A" w:rsidP="00073356">
      <w:pPr>
        <w:spacing w:before="120" w:line="240" w:lineRule="auto"/>
        <w:rPr>
          <w:b/>
          <w:color w:val="1F497D" w:themeColor="text2"/>
          <w:sz w:val="24"/>
          <w:szCs w:val="24"/>
          <w:highlight w:val="yellow"/>
        </w:rPr>
      </w:pPr>
    </w:p>
    <w:p w14:paraId="29A6BC57" w14:textId="77777777" w:rsidR="008A6B65" w:rsidRDefault="008A6B65" w:rsidP="00073356">
      <w:pPr>
        <w:spacing w:before="120" w:line="240" w:lineRule="auto"/>
        <w:rPr>
          <w:b/>
          <w:color w:val="1F497D" w:themeColor="text2"/>
          <w:sz w:val="24"/>
          <w:szCs w:val="24"/>
          <w:highlight w:val="yellow"/>
        </w:rPr>
      </w:pPr>
    </w:p>
    <w:p w14:paraId="264F5B07" w14:textId="77777777" w:rsidR="00DA3D1F" w:rsidRDefault="00DA3D1F" w:rsidP="00DA3D1F">
      <w:pPr>
        <w:spacing w:line="240" w:lineRule="auto"/>
        <w:rPr>
          <w:b/>
          <w:color w:val="1F497D" w:themeColor="text2"/>
          <w:sz w:val="24"/>
          <w:szCs w:val="24"/>
        </w:rPr>
      </w:pPr>
    </w:p>
    <w:p w14:paraId="0A57357D" w14:textId="77777777" w:rsidR="00DA3D1F" w:rsidRDefault="00DA3D1F" w:rsidP="00DA3D1F">
      <w:pPr>
        <w:spacing w:after="0" w:line="240" w:lineRule="auto"/>
        <w:rPr>
          <w:b/>
          <w:color w:val="1F497D" w:themeColor="text2"/>
          <w:sz w:val="24"/>
          <w:szCs w:val="24"/>
        </w:rPr>
      </w:pPr>
    </w:p>
    <w:p w14:paraId="24147915" w14:textId="104DA4CA" w:rsidR="00D74095" w:rsidRDefault="00D74095" w:rsidP="00290DE4">
      <w:pPr>
        <w:rPr>
          <w:b/>
          <w:bCs/>
        </w:rPr>
      </w:pPr>
    </w:p>
    <w:p w14:paraId="07479BBF" w14:textId="0077FD5A" w:rsidR="00D74095" w:rsidRDefault="00D74095" w:rsidP="00290DE4">
      <w:pPr>
        <w:rPr>
          <w:b/>
          <w:bCs/>
        </w:rPr>
      </w:pPr>
    </w:p>
    <w:p w14:paraId="449C15DC" w14:textId="0262BF2A" w:rsidR="00BF114A" w:rsidRDefault="00BF114A" w:rsidP="00290DE4">
      <w:pPr>
        <w:rPr>
          <w:b/>
          <w:bCs/>
        </w:rPr>
      </w:pPr>
    </w:p>
    <w:p w14:paraId="0D66AE91" w14:textId="0DB79C26" w:rsidR="00BF114A" w:rsidRDefault="004D391C" w:rsidP="00290DE4">
      <w:pPr>
        <w:rPr>
          <w:b/>
          <w:bCs/>
        </w:rPr>
      </w:pPr>
      <w:r w:rsidRPr="008F0200">
        <w:rPr>
          <w:noProof/>
          <w:sz w:val="36"/>
          <w:szCs w:val="36"/>
          <w:highlight w:val="yellow"/>
        </w:rPr>
        <mc:AlternateContent>
          <mc:Choice Requires="wps">
            <w:drawing>
              <wp:anchor distT="0" distB="0" distL="114300" distR="114300" simplePos="0" relativeHeight="251657216" behindDoc="0" locked="0" layoutInCell="1" allowOverlap="1" wp14:anchorId="2D14679C" wp14:editId="4D6D2971">
                <wp:simplePos x="0" y="0"/>
                <wp:positionH relativeFrom="margin">
                  <wp:posOffset>-9217</wp:posOffset>
                </wp:positionH>
                <wp:positionV relativeFrom="paragraph">
                  <wp:posOffset>58200</wp:posOffset>
                </wp:positionV>
                <wp:extent cx="6845300" cy="1562100"/>
                <wp:effectExtent l="38100" t="38100" r="107950" b="114300"/>
                <wp:wrapNone/>
                <wp:docPr id="2"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562100"/>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18AC7D74" w14:textId="5685D2EA" w:rsidR="00BF114A" w:rsidRPr="00DA3D1F" w:rsidRDefault="00BF114A" w:rsidP="00550EA4">
                            <w:pPr>
                              <w:spacing w:after="0" w:line="240" w:lineRule="auto"/>
                              <w:rPr>
                                <w:b/>
                                <w:bCs/>
                                <w:color w:val="1F497D" w:themeColor="text2"/>
                              </w:rPr>
                            </w:pPr>
                            <w:r w:rsidRPr="00DA3D1F">
                              <w:rPr>
                                <w:b/>
                                <w:bCs/>
                                <w:color w:val="1F497D" w:themeColor="text2"/>
                              </w:rPr>
                              <w:t xml:space="preserve">Can Perkins funds be used to plan for early college or innovation pathways?  </w:t>
                            </w:r>
                          </w:p>
                          <w:p w14:paraId="72430381" w14:textId="3703C2CF" w:rsidR="00550EA4" w:rsidRDefault="00550EA4" w:rsidP="00550EA4">
                            <w:pPr>
                              <w:spacing w:after="0" w:line="240" w:lineRule="auto"/>
                              <w:rPr>
                                <w:color w:val="365F91" w:themeColor="accent1" w:themeShade="BF"/>
                              </w:rPr>
                            </w:pPr>
                            <w:r w:rsidRPr="00DA3D1F">
                              <w:rPr>
                                <w:color w:val="365F91" w:themeColor="accent1" w:themeShade="BF"/>
                              </w:rPr>
                              <w:t xml:space="preserve">Perkins funds cannot be used to </w:t>
                            </w:r>
                            <w:r>
                              <w:rPr>
                                <w:color w:val="365F91" w:themeColor="accent1" w:themeShade="BF"/>
                              </w:rPr>
                              <w:t>develop Early College or Innovation</w:t>
                            </w:r>
                            <w:r w:rsidRPr="00DA3D1F">
                              <w:rPr>
                                <w:color w:val="365F91" w:themeColor="accent1" w:themeShade="BF"/>
                              </w:rPr>
                              <w:t xml:space="preserve"> </w:t>
                            </w:r>
                            <w:r>
                              <w:rPr>
                                <w:color w:val="365F91" w:themeColor="accent1" w:themeShade="BF"/>
                              </w:rPr>
                              <w:t>P</w:t>
                            </w:r>
                            <w:r w:rsidRPr="00DA3D1F">
                              <w:rPr>
                                <w:color w:val="365F91" w:themeColor="accent1" w:themeShade="BF"/>
                              </w:rPr>
                              <w:t xml:space="preserve">athways </w:t>
                            </w:r>
                            <w:r>
                              <w:rPr>
                                <w:color w:val="365F91" w:themeColor="accent1" w:themeShade="BF"/>
                              </w:rPr>
                              <w:t>plans for</w:t>
                            </w:r>
                            <w:r w:rsidRPr="00DA3D1F">
                              <w:rPr>
                                <w:color w:val="365F91" w:themeColor="accent1" w:themeShade="BF"/>
                              </w:rPr>
                              <w:t xml:space="preserve"> submi</w:t>
                            </w:r>
                            <w:r>
                              <w:rPr>
                                <w:color w:val="365F91" w:themeColor="accent1" w:themeShade="BF"/>
                              </w:rPr>
                              <w:t>ssion</w:t>
                            </w:r>
                            <w:r w:rsidRPr="00DA3D1F">
                              <w:rPr>
                                <w:color w:val="365F91" w:themeColor="accent1" w:themeShade="BF"/>
                              </w:rPr>
                              <w:t xml:space="preserve"> for </w:t>
                            </w:r>
                            <w:r>
                              <w:rPr>
                                <w:color w:val="365F91" w:themeColor="accent1" w:themeShade="BF"/>
                              </w:rPr>
                              <w:t>the Early College or Innovation</w:t>
                            </w:r>
                            <w:r w:rsidRPr="00DA3D1F">
                              <w:rPr>
                                <w:color w:val="365F91" w:themeColor="accent1" w:themeShade="BF"/>
                              </w:rPr>
                              <w:t xml:space="preserve"> </w:t>
                            </w:r>
                            <w:r>
                              <w:rPr>
                                <w:color w:val="365F91" w:themeColor="accent1" w:themeShade="BF"/>
                              </w:rPr>
                              <w:t>P</w:t>
                            </w:r>
                            <w:r w:rsidRPr="00DA3D1F">
                              <w:rPr>
                                <w:color w:val="365F91" w:themeColor="accent1" w:themeShade="BF"/>
                              </w:rPr>
                              <w:t>athways designation</w:t>
                            </w:r>
                            <w:r>
                              <w:rPr>
                                <w:color w:val="365F91" w:themeColor="accent1" w:themeShade="BF"/>
                              </w:rPr>
                              <w:t>s</w:t>
                            </w:r>
                            <w:r w:rsidRPr="00DA3D1F">
                              <w:rPr>
                                <w:color w:val="365F91" w:themeColor="accent1" w:themeShade="BF"/>
                              </w:rPr>
                              <w:t>.</w:t>
                            </w:r>
                          </w:p>
                          <w:p w14:paraId="265562EE" w14:textId="77777777" w:rsidR="00550EA4" w:rsidRDefault="00550EA4" w:rsidP="00550EA4">
                            <w:pPr>
                              <w:spacing w:after="0" w:line="240" w:lineRule="auto"/>
                              <w:rPr>
                                <w:color w:val="365F91" w:themeColor="accent1" w:themeShade="BF"/>
                              </w:rPr>
                            </w:pPr>
                          </w:p>
                          <w:p w14:paraId="4F183126" w14:textId="4F2B8C46" w:rsidR="00B41D6F" w:rsidRPr="00DA3D1F" w:rsidRDefault="00B41D6F" w:rsidP="00550EA4">
                            <w:pPr>
                              <w:spacing w:after="0" w:line="240" w:lineRule="auto"/>
                              <w:rPr>
                                <w:b/>
                                <w:bCs/>
                                <w:color w:val="1F497D" w:themeColor="text2"/>
                                <w:sz w:val="18"/>
                                <w:szCs w:val="18"/>
                              </w:rPr>
                            </w:pPr>
                            <w:r w:rsidRPr="00DA3D1F">
                              <w:rPr>
                                <w:b/>
                                <w:bCs/>
                                <w:color w:val="1F497D" w:themeColor="text2"/>
                              </w:rPr>
                              <w:t>Can Perkins (Fund Code 401) funding support dual enrollment tuition?</w:t>
                            </w:r>
                          </w:p>
                          <w:p w14:paraId="05AD8DE2" w14:textId="08A60AFF" w:rsidR="00550EA4" w:rsidRDefault="00550EA4" w:rsidP="00550EA4">
                            <w:pPr>
                              <w:spacing w:after="0" w:line="240" w:lineRule="auto"/>
                              <w:rPr>
                                <w:color w:val="1F497D"/>
                              </w:rPr>
                            </w:pPr>
                            <w:r w:rsidRPr="00DA3D1F">
                              <w:rPr>
                                <w:color w:val="1F497D"/>
                              </w:rPr>
                              <w:t xml:space="preserve">Yes, if the course is a part of </w:t>
                            </w:r>
                            <w:r>
                              <w:rPr>
                                <w:color w:val="1F497D"/>
                              </w:rPr>
                              <w:t xml:space="preserve">a </w:t>
                            </w:r>
                            <w:r w:rsidRPr="00DA3D1F">
                              <w:rPr>
                                <w:color w:val="1F497D"/>
                              </w:rPr>
                              <w:t>Career Technical Education Program,</w:t>
                            </w:r>
                            <w:r w:rsidR="007C205F">
                              <w:rPr>
                                <w:color w:val="1F497D"/>
                              </w:rPr>
                              <w:t xml:space="preserve"> </w:t>
                            </w:r>
                            <w:r>
                              <w:rPr>
                                <w:color w:val="1F497D"/>
                              </w:rPr>
                              <w:t>can be</w:t>
                            </w:r>
                            <w:r w:rsidRPr="00DA3D1F">
                              <w:rPr>
                                <w:color w:val="1F497D"/>
                              </w:rPr>
                              <w:t xml:space="preserve"> considered a Perkins course</w:t>
                            </w:r>
                            <w:r>
                              <w:rPr>
                                <w:color w:val="1F497D"/>
                              </w:rPr>
                              <w:t xml:space="preserve"> </w:t>
                            </w:r>
                            <w:r w:rsidRPr="00DA3D1F">
                              <w:rPr>
                                <w:color w:val="1F497D"/>
                              </w:rPr>
                              <w:t>at the postsecondary level.</w:t>
                            </w:r>
                            <w:r>
                              <w:rPr>
                                <w:color w:val="1F497D"/>
                              </w:rPr>
                              <w:t xml:space="preserve"> Therefore, it is an allowable cost under the 401 grant. Note, h</w:t>
                            </w:r>
                            <w:r w:rsidRPr="00DA3D1F">
                              <w:rPr>
                                <w:color w:val="1F497D"/>
                              </w:rPr>
                              <w:t xml:space="preserve">owever, </w:t>
                            </w:r>
                            <w:r>
                              <w:rPr>
                                <w:color w:val="1F497D"/>
                              </w:rPr>
                              <w:t xml:space="preserve">that </w:t>
                            </w:r>
                            <w:r w:rsidRPr="00DA3D1F">
                              <w:rPr>
                                <w:color w:val="1F497D"/>
                              </w:rPr>
                              <w:t>those students may not be considered Perkins concentrators</w:t>
                            </w:r>
                            <w:r>
                              <w:rPr>
                                <w:color w:val="1F497D"/>
                              </w:rPr>
                              <w:t xml:space="preserve"> </w:t>
                            </w:r>
                            <w:r w:rsidRPr="00DA3D1F">
                              <w:rPr>
                                <w:color w:val="1F497D"/>
                              </w:rPr>
                              <w:t>if they do not take a second course in the sequence.</w:t>
                            </w:r>
                          </w:p>
                          <w:p w14:paraId="64160EE1" w14:textId="7850B4A6" w:rsidR="00903FE6" w:rsidRPr="00DA3D1F" w:rsidRDefault="00903FE6">
                            <w:pPr>
                              <w:spacing w:after="0" w:line="240" w:lineRule="auto"/>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4679C" id="_x0000_s1032" type="#_x0000_t202" style="position:absolute;margin-left:-.75pt;margin-top:4.6pt;width:539pt;height:12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" strokecolor="#365f91 [2404]" strokeweight=".25pt">
                <v:shadow on="t" color="black" opacity="26214f" origin="-.5,-.5" offset=".74836mm,.74836mm"/>
                <v:textbox>
                  <w:txbxContent>
                    <w:p w14:paraId="18AC7D74" w14:textId="5685D2EA" w:rsidR="00BF114A" w:rsidRPr="00DA3D1F" w:rsidRDefault="00BF114A" w:rsidP="00550EA4">
                      <w:pPr>
                        <w:spacing w:after="0" w:line="240" w:lineRule="auto"/>
                        <w:rPr>
                          <w:b/>
                          <w:bCs/>
                          <w:color w:val="1F497D" w:themeColor="text2"/>
                        </w:rPr>
                      </w:pPr>
                      <w:r w:rsidRPr="00DA3D1F">
                        <w:rPr>
                          <w:b/>
                          <w:bCs/>
                          <w:color w:val="1F497D" w:themeColor="text2"/>
                        </w:rPr>
                        <w:t xml:space="preserve">Can Perkins funds be used to plan for early college or innovation pathways?  </w:t>
                      </w:r>
                    </w:p>
                    <w:p w14:paraId="72430381" w14:textId="3703C2CF" w:rsidR="00550EA4" w:rsidRDefault="00550EA4" w:rsidP="00550EA4">
                      <w:pPr>
                        <w:spacing w:after="0" w:line="240" w:lineRule="auto"/>
                        <w:rPr>
                          <w:color w:val="365F91" w:themeColor="accent1" w:themeShade="BF"/>
                        </w:rPr>
                      </w:pPr>
                      <w:r w:rsidRPr="00DA3D1F">
                        <w:rPr>
                          <w:color w:val="365F91" w:themeColor="accent1" w:themeShade="BF"/>
                        </w:rPr>
                        <w:t xml:space="preserve">Perkins funds cannot be used to </w:t>
                      </w:r>
                      <w:r>
                        <w:rPr>
                          <w:color w:val="365F91" w:themeColor="accent1" w:themeShade="BF"/>
                        </w:rPr>
                        <w:t>develop Early College or Innovation</w:t>
                      </w:r>
                      <w:r w:rsidRPr="00DA3D1F">
                        <w:rPr>
                          <w:color w:val="365F91" w:themeColor="accent1" w:themeShade="BF"/>
                        </w:rPr>
                        <w:t xml:space="preserve"> </w:t>
                      </w:r>
                      <w:r>
                        <w:rPr>
                          <w:color w:val="365F91" w:themeColor="accent1" w:themeShade="BF"/>
                        </w:rPr>
                        <w:t>P</w:t>
                      </w:r>
                      <w:r w:rsidRPr="00DA3D1F">
                        <w:rPr>
                          <w:color w:val="365F91" w:themeColor="accent1" w:themeShade="BF"/>
                        </w:rPr>
                        <w:t xml:space="preserve">athways </w:t>
                      </w:r>
                      <w:r>
                        <w:rPr>
                          <w:color w:val="365F91" w:themeColor="accent1" w:themeShade="BF"/>
                        </w:rPr>
                        <w:t>plans for</w:t>
                      </w:r>
                      <w:r w:rsidRPr="00DA3D1F">
                        <w:rPr>
                          <w:color w:val="365F91" w:themeColor="accent1" w:themeShade="BF"/>
                        </w:rPr>
                        <w:t xml:space="preserve"> submi</w:t>
                      </w:r>
                      <w:r>
                        <w:rPr>
                          <w:color w:val="365F91" w:themeColor="accent1" w:themeShade="BF"/>
                        </w:rPr>
                        <w:t>ssion</w:t>
                      </w:r>
                      <w:r w:rsidRPr="00DA3D1F">
                        <w:rPr>
                          <w:color w:val="365F91" w:themeColor="accent1" w:themeShade="BF"/>
                        </w:rPr>
                        <w:t xml:space="preserve"> for </w:t>
                      </w:r>
                      <w:r>
                        <w:rPr>
                          <w:color w:val="365F91" w:themeColor="accent1" w:themeShade="BF"/>
                        </w:rPr>
                        <w:t>the Early College or Innovation</w:t>
                      </w:r>
                      <w:r w:rsidRPr="00DA3D1F">
                        <w:rPr>
                          <w:color w:val="365F91" w:themeColor="accent1" w:themeShade="BF"/>
                        </w:rPr>
                        <w:t xml:space="preserve"> </w:t>
                      </w:r>
                      <w:r>
                        <w:rPr>
                          <w:color w:val="365F91" w:themeColor="accent1" w:themeShade="BF"/>
                        </w:rPr>
                        <w:t>P</w:t>
                      </w:r>
                      <w:r w:rsidRPr="00DA3D1F">
                        <w:rPr>
                          <w:color w:val="365F91" w:themeColor="accent1" w:themeShade="BF"/>
                        </w:rPr>
                        <w:t>athways designation</w:t>
                      </w:r>
                      <w:r>
                        <w:rPr>
                          <w:color w:val="365F91" w:themeColor="accent1" w:themeShade="BF"/>
                        </w:rPr>
                        <w:t>s</w:t>
                      </w:r>
                      <w:r w:rsidRPr="00DA3D1F">
                        <w:rPr>
                          <w:color w:val="365F91" w:themeColor="accent1" w:themeShade="BF"/>
                        </w:rPr>
                        <w:t>.</w:t>
                      </w:r>
                    </w:p>
                    <w:p w14:paraId="265562EE" w14:textId="77777777" w:rsidR="00550EA4" w:rsidRDefault="00550EA4" w:rsidP="00550EA4">
                      <w:pPr>
                        <w:spacing w:after="0" w:line="240" w:lineRule="auto"/>
                        <w:rPr>
                          <w:color w:val="365F91" w:themeColor="accent1" w:themeShade="BF"/>
                        </w:rPr>
                      </w:pPr>
                    </w:p>
                    <w:p w14:paraId="4F183126" w14:textId="4F2B8C46" w:rsidR="00B41D6F" w:rsidRPr="00DA3D1F" w:rsidRDefault="00B41D6F" w:rsidP="00550EA4">
                      <w:pPr>
                        <w:spacing w:after="0" w:line="240" w:lineRule="auto"/>
                        <w:rPr>
                          <w:b/>
                          <w:bCs/>
                          <w:color w:val="1F497D" w:themeColor="text2"/>
                          <w:sz w:val="18"/>
                          <w:szCs w:val="18"/>
                        </w:rPr>
                      </w:pPr>
                      <w:r w:rsidRPr="00DA3D1F">
                        <w:rPr>
                          <w:b/>
                          <w:bCs/>
                          <w:color w:val="1F497D" w:themeColor="text2"/>
                        </w:rPr>
                        <w:t>Can Perkins (Fund Code 401) funding support dual enrollment tuition?</w:t>
                      </w:r>
                    </w:p>
                    <w:p w14:paraId="05AD8DE2" w14:textId="08A60AFF" w:rsidR="00550EA4" w:rsidRDefault="00550EA4" w:rsidP="00550EA4">
                      <w:pPr>
                        <w:spacing w:after="0" w:line="240" w:lineRule="auto"/>
                        <w:rPr>
                          <w:color w:val="1F497D"/>
                        </w:rPr>
                      </w:pPr>
                      <w:r w:rsidRPr="00DA3D1F">
                        <w:rPr>
                          <w:color w:val="1F497D"/>
                        </w:rPr>
                        <w:t xml:space="preserve">Yes, if the course is a part of </w:t>
                      </w:r>
                      <w:r>
                        <w:rPr>
                          <w:color w:val="1F497D"/>
                        </w:rPr>
                        <w:t xml:space="preserve">a </w:t>
                      </w:r>
                      <w:r w:rsidRPr="00DA3D1F">
                        <w:rPr>
                          <w:color w:val="1F497D"/>
                        </w:rPr>
                        <w:t>Career Technical Education Program,</w:t>
                      </w:r>
                      <w:r w:rsidR="007C205F">
                        <w:rPr>
                          <w:color w:val="1F497D"/>
                        </w:rPr>
                        <w:t xml:space="preserve"> </w:t>
                      </w:r>
                      <w:r>
                        <w:rPr>
                          <w:color w:val="1F497D"/>
                        </w:rPr>
                        <w:t>can be</w:t>
                      </w:r>
                      <w:r w:rsidRPr="00DA3D1F">
                        <w:rPr>
                          <w:color w:val="1F497D"/>
                        </w:rPr>
                        <w:t xml:space="preserve"> considered a Perkins course</w:t>
                      </w:r>
                      <w:r>
                        <w:rPr>
                          <w:color w:val="1F497D"/>
                        </w:rPr>
                        <w:t xml:space="preserve"> </w:t>
                      </w:r>
                      <w:r w:rsidRPr="00DA3D1F">
                        <w:rPr>
                          <w:color w:val="1F497D"/>
                        </w:rPr>
                        <w:t>at the postsecondary level.</w:t>
                      </w:r>
                      <w:r>
                        <w:rPr>
                          <w:color w:val="1F497D"/>
                        </w:rPr>
                        <w:t xml:space="preserve"> Therefore, it is an allowable cost under the 401 grant. Note, h</w:t>
                      </w:r>
                      <w:r w:rsidRPr="00DA3D1F">
                        <w:rPr>
                          <w:color w:val="1F497D"/>
                        </w:rPr>
                        <w:t xml:space="preserve">owever, </w:t>
                      </w:r>
                      <w:r>
                        <w:rPr>
                          <w:color w:val="1F497D"/>
                        </w:rPr>
                        <w:t xml:space="preserve">that </w:t>
                      </w:r>
                      <w:r w:rsidRPr="00DA3D1F">
                        <w:rPr>
                          <w:color w:val="1F497D"/>
                        </w:rPr>
                        <w:t>those students may not be considered Perkins concentrators</w:t>
                      </w:r>
                      <w:r>
                        <w:rPr>
                          <w:color w:val="1F497D"/>
                        </w:rPr>
                        <w:t xml:space="preserve"> </w:t>
                      </w:r>
                      <w:r w:rsidRPr="00DA3D1F">
                        <w:rPr>
                          <w:color w:val="1F497D"/>
                        </w:rPr>
                        <w:t>if they do not take a second course in the sequence.</w:t>
                      </w:r>
                    </w:p>
                    <w:p w14:paraId="64160EE1" w14:textId="7850B4A6" w:rsidR="00903FE6" w:rsidRPr="00DA3D1F" w:rsidRDefault="00903FE6">
                      <w:pPr>
                        <w:spacing w:after="0" w:line="240" w:lineRule="auto"/>
                        <w:rPr>
                          <w:color w:val="1F497D"/>
                        </w:rPr>
                      </w:pPr>
                    </w:p>
                  </w:txbxContent>
                </v:textbox>
                <w10:wrap anchorx="margin"/>
              </v:shape>
            </w:pict>
          </mc:Fallback>
        </mc:AlternateContent>
      </w:r>
    </w:p>
    <w:p w14:paraId="25A7457F" w14:textId="77777777" w:rsidR="00A61989" w:rsidRDefault="00A61989" w:rsidP="00290DE4">
      <w:pPr>
        <w:rPr>
          <w:b/>
          <w:bCs/>
        </w:rPr>
      </w:pPr>
    </w:p>
    <w:p w14:paraId="2476200F" w14:textId="77777777" w:rsidR="008A6B65" w:rsidRDefault="008A6B65" w:rsidP="00290DE4">
      <w:pPr>
        <w:spacing w:after="0" w:line="240" w:lineRule="auto"/>
        <w:rPr>
          <w:b/>
          <w:bCs/>
        </w:rPr>
      </w:pPr>
    </w:p>
    <w:p w14:paraId="5F64CEB2" w14:textId="77777777" w:rsidR="008A6B65" w:rsidRDefault="008A6B65" w:rsidP="00290DE4">
      <w:pPr>
        <w:spacing w:after="0" w:line="240" w:lineRule="auto"/>
        <w:rPr>
          <w:b/>
          <w:bCs/>
        </w:rPr>
      </w:pPr>
    </w:p>
    <w:p w14:paraId="5F419CFE" w14:textId="77777777" w:rsidR="008A6B65" w:rsidRDefault="008A6B65" w:rsidP="00290DE4">
      <w:pPr>
        <w:spacing w:after="0" w:line="240" w:lineRule="auto"/>
        <w:rPr>
          <w:b/>
          <w:bCs/>
        </w:rPr>
      </w:pPr>
    </w:p>
    <w:p w14:paraId="3A403006" w14:textId="3EA5AD37" w:rsidR="00E27F9E" w:rsidRPr="00E27F9E" w:rsidRDefault="00E27F9E" w:rsidP="00290DE4">
      <w:pPr>
        <w:spacing w:after="0" w:line="240" w:lineRule="auto"/>
        <w:rPr>
          <w:b/>
          <w:bCs/>
          <w:sz w:val="8"/>
          <w:szCs w:val="8"/>
        </w:rPr>
      </w:pPr>
    </w:p>
    <w:p w14:paraId="373B7EE2" w14:textId="6E6B8073" w:rsidR="00290DE4" w:rsidRDefault="00290DE4" w:rsidP="000D4A11">
      <w:pPr>
        <w:spacing w:after="0" w:line="240" w:lineRule="auto"/>
        <w:rPr>
          <w:sz w:val="8"/>
          <w:szCs w:val="8"/>
        </w:rPr>
      </w:pPr>
    </w:p>
    <w:p w14:paraId="2D2BB8E9" w14:textId="01618350" w:rsidR="00E27F9E" w:rsidRDefault="00E27F9E" w:rsidP="000D4A11">
      <w:pPr>
        <w:spacing w:after="0" w:line="240" w:lineRule="auto"/>
        <w:rPr>
          <w:sz w:val="8"/>
          <w:szCs w:val="8"/>
        </w:rPr>
      </w:pPr>
    </w:p>
    <w:p w14:paraId="14F73E2D" w14:textId="77777777" w:rsidR="00E27F9E" w:rsidRDefault="00E27F9E" w:rsidP="000D4A11">
      <w:pPr>
        <w:spacing w:after="0" w:line="240" w:lineRule="auto"/>
        <w:rPr>
          <w:sz w:val="8"/>
          <w:szCs w:val="8"/>
        </w:rPr>
      </w:pPr>
    </w:p>
    <w:p w14:paraId="373A4AC6" w14:textId="77777777" w:rsidR="00290DE4" w:rsidRPr="000D4A11" w:rsidRDefault="00290DE4" w:rsidP="000D4A11">
      <w:pPr>
        <w:spacing w:after="0" w:line="240" w:lineRule="auto"/>
        <w:rPr>
          <w:sz w:val="8"/>
          <w:szCs w:val="8"/>
        </w:rPr>
      </w:pPr>
    </w:p>
    <w:sectPr w:rsidR="00290DE4" w:rsidRPr="000D4A11" w:rsidSect="006E277C">
      <w:headerReference w:type="even" r:id="rId29"/>
      <w:headerReference w:type="default" r:id="rId30"/>
      <w:footerReference w:type="even" r:id="rId31"/>
      <w:footerReference w:type="default" r:id="rId32"/>
      <w:headerReference w:type="first" r:id="rId33"/>
      <w:footerReference w:type="first" r:id="rId34"/>
      <w:pgSz w:w="12240" w:h="15840"/>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C07DA" w14:textId="77777777" w:rsidR="00EC7D6D" w:rsidRDefault="00EC7D6D" w:rsidP="002123C2">
      <w:pPr>
        <w:spacing w:after="0" w:line="240" w:lineRule="auto"/>
      </w:pPr>
      <w:r>
        <w:separator/>
      </w:r>
    </w:p>
  </w:endnote>
  <w:endnote w:type="continuationSeparator" w:id="0">
    <w:p w14:paraId="5B5588DA" w14:textId="77777777" w:rsidR="00EC7D6D" w:rsidRDefault="00EC7D6D" w:rsidP="0021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E381D" w14:textId="77777777" w:rsidR="005F770D" w:rsidRDefault="005F7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DAEEF" w14:textId="7DD3BD0E" w:rsidR="00D23EBF" w:rsidRDefault="001C1094">
    <w:pPr>
      <w:pStyle w:val="Footer"/>
      <w:rPr>
        <w:sz w:val="20"/>
        <w:szCs w:val="20"/>
      </w:rPr>
    </w:pPr>
    <w:r w:rsidRPr="00A02804">
      <w:rPr>
        <w:sz w:val="20"/>
        <w:szCs w:val="20"/>
      </w:rPr>
      <w:t xml:space="preserve">Updated </w:t>
    </w:r>
    <w:r w:rsidR="005F770D">
      <w:rPr>
        <w:sz w:val="20"/>
        <w:szCs w:val="20"/>
      </w:rPr>
      <w:t>June</w:t>
    </w:r>
    <w:r w:rsidR="00D23EBF">
      <w:rPr>
        <w:sz w:val="20"/>
        <w:szCs w:val="20"/>
      </w:rPr>
      <w:t xml:space="preserve"> 2020</w:t>
    </w:r>
  </w:p>
  <w:p w14:paraId="47052D57" w14:textId="77777777" w:rsidR="006E277C" w:rsidRDefault="006E277C">
    <w:pPr>
      <w:pStyle w:val="Footer"/>
      <w:rPr>
        <w:sz w:val="20"/>
        <w:szCs w:val="20"/>
      </w:rPr>
    </w:pPr>
  </w:p>
  <w:p w14:paraId="2CA94596" w14:textId="77777777" w:rsidR="006E277C" w:rsidRPr="00A02804" w:rsidRDefault="006E277C">
    <w:pPr>
      <w:pStyle w:val="Footer"/>
      <w:rPr>
        <w:sz w:val="20"/>
        <w:szCs w:val="20"/>
      </w:rPr>
    </w:pPr>
    <w:r>
      <w:rPr>
        <w:rFonts w:cstheme="minorHAnsi"/>
        <w:i/>
        <w:iCs/>
        <w:color w:val="808080" w:themeColor="background1" w:themeShade="80"/>
        <w:sz w:val="18"/>
        <w:szCs w:val="18"/>
        <w:shd w:val="clear" w:color="auto" w:fill="FFFFFF"/>
      </w:rPr>
      <w:t>The contents of this document do not have the force and effect of law and are not meant to bind the public in any way; they are intended only to provide clarity to the public regarding existing requirements under the law or agency policies.</w:t>
    </w:r>
  </w:p>
  <w:p w14:paraId="74DF634E" w14:textId="77777777" w:rsidR="00DF4F96" w:rsidRDefault="00DF4F96" w:rsidP="00A02804">
    <w:pPr>
      <w:spacing w:before="60" w:after="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6A840" w14:textId="77777777" w:rsidR="005F770D" w:rsidRDefault="005F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08CA0" w14:textId="77777777" w:rsidR="00EC7D6D" w:rsidRDefault="00EC7D6D" w:rsidP="002123C2">
      <w:pPr>
        <w:spacing w:after="0" w:line="240" w:lineRule="auto"/>
      </w:pPr>
      <w:r>
        <w:separator/>
      </w:r>
    </w:p>
  </w:footnote>
  <w:footnote w:type="continuationSeparator" w:id="0">
    <w:p w14:paraId="7D6B22DB" w14:textId="77777777" w:rsidR="00EC7D6D" w:rsidRDefault="00EC7D6D" w:rsidP="00212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6F65" w14:textId="77777777" w:rsidR="005F770D" w:rsidRDefault="005F7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A1A80" w14:textId="77777777" w:rsidR="00DF4F96" w:rsidRPr="00F71E79" w:rsidRDefault="00DF4F96" w:rsidP="002E041D">
    <w:pPr>
      <w:pStyle w:val="Heading1"/>
      <w:tabs>
        <w:tab w:val="left" w:pos="337"/>
        <w:tab w:val="center" w:pos="5112"/>
      </w:tabs>
      <w:spacing w:before="240"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0DB33" w14:textId="77777777" w:rsidR="005F770D" w:rsidRDefault="005F7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393C"/>
    <w:multiLevelType w:val="hybridMultilevel"/>
    <w:tmpl w:val="C994BA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58737A"/>
    <w:multiLevelType w:val="hybridMultilevel"/>
    <w:tmpl w:val="E69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84844"/>
    <w:multiLevelType w:val="hybridMultilevel"/>
    <w:tmpl w:val="21A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63E1F"/>
    <w:multiLevelType w:val="hybridMultilevel"/>
    <w:tmpl w:val="5608EC0E"/>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F6AE2"/>
    <w:multiLevelType w:val="hybridMultilevel"/>
    <w:tmpl w:val="4D3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9780D"/>
    <w:multiLevelType w:val="hybridMultilevel"/>
    <w:tmpl w:val="C5FCF4BE"/>
    <w:lvl w:ilvl="0" w:tplc="CC402C38">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AF3D5F"/>
    <w:multiLevelType w:val="hybridMultilevel"/>
    <w:tmpl w:val="67743B12"/>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C243D"/>
    <w:multiLevelType w:val="hybridMultilevel"/>
    <w:tmpl w:val="C6064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450A5"/>
    <w:multiLevelType w:val="hybridMultilevel"/>
    <w:tmpl w:val="FAD8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17FDA"/>
    <w:multiLevelType w:val="hybridMultilevel"/>
    <w:tmpl w:val="39D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0874B8"/>
    <w:multiLevelType w:val="hybridMultilevel"/>
    <w:tmpl w:val="19B2392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A0940"/>
    <w:multiLevelType w:val="hybridMultilevel"/>
    <w:tmpl w:val="4B8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63EFF"/>
    <w:multiLevelType w:val="hybridMultilevel"/>
    <w:tmpl w:val="ABBCCE4A"/>
    <w:lvl w:ilvl="0" w:tplc="9E105FC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B4A5D"/>
    <w:multiLevelType w:val="hybridMultilevel"/>
    <w:tmpl w:val="221A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94DB9"/>
    <w:multiLevelType w:val="hybridMultilevel"/>
    <w:tmpl w:val="A760A26C"/>
    <w:lvl w:ilvl="0" w:tplc="04090001">
      <w:start w:val="1"/>
      <w:numFmt w:val="bullet"/>
      <w:lvlText w:val=""/>
      <w:lvlJc w:val="left"/>
      <w:pPr>
        <w:ind w:left="720" w:hanging="360"/>
      </w:pPr>
      <w:rPr>
        <w:rFonts w:ascii="Symbol" w:hAnsi="Symbol" w:hint="default"/>
      </w:rPr>
    </w:lvl>
    <w:lvl w:ilvl="1" w:tplc="B5FE54F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1C1B67"/>
    <w:multiLevelType w:val="hybridMultilevel"/>
    <w:tmpl w:val="F3EE86AC"/>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D5147"/>
    <w:multiLevelType w:val="hybridMultilevel"/>
    <w:tmpl w:val="E342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50961"/>
    <w:multiLevelType w:val="hybridMultilevel"/>
    <w:tmpl w:val="976C7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3FE5735"/>
    <w:multiLevelType w:val="hybridMultilevel"/>
    <w:tmpl w:val="40D6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452E9"/>
    <w:multiLevelType w:val="multilevel"/>
    <w:tmpl w:val="EF423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5106B9"/>
    <w:multiLevelType w:val="hybridMultilevel"/>
    <w:tmpl w:val="0D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D970F0"/>
    <w:multiLevelType w:val="hybridMultilevel"/>
    <w:tmpl w:val="DC74D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2010D7"/>
    <w:multiLevelType w:val="hybridMultilevel"/>
    <w:tmpl w:val="9AE6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1E5BAF"/>
    <w:multiLevelType w:val="hybridMultilevel"/>
    <w:tmpl w:val="D9A8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554E6B"/>
    <w:multiLevelType w:val="hybridMultilevel"/>
    <w:tmpl w:val="56EAE746"/>
    <w:lvl w:ilvl="0" w:tplc="296EC5A2">
      <w:start w:val="1"/>
      <w:numFmt w:val="decimal"/>
      <w:lvlText w:val="%1."/>
      <w:lvlJc w:val="left"/>
      <w:pPr>
        <w:ind w:left="360" w:hanging="360"/>
      </w:pPr>
      <w:rPr>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965CCA"/>
    <w:multiLevelType w:val="hybridMultilevel"/>
    <w:tmpl w:val="DE340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4C16A4D"/>
    <w:multiLevelType w:val="hybridMultilevel"/>
    <w:tmpl w:val="CE3A13CE"/>
    <w:lvl w:ilvl="0" w:tplc="45EA928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4AC8196A"/>
    <w:multiLevelType w:val="hybridMultilevel"/>
    <w:tmpl w:val="3DCA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E63041"/>
    <w:multiLevelType w:val="hybridMultilevel"/>
    <w:tmpl w:val="CCC6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7229A0"/>
    <w:multiLevelType w:val="hybridMultilevel"/>
    <w:tmpl w:val="1034D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9D35FB"/>
    <w:multiLevelType w:val="hybridMultilevel"/>
    <w:tmpl w:val="5F46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6A4C21"/>
    <w:multiLevelType w:val="hybridMultilevel"/>
    <w:tmpl w:val="508A2720"/>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B8417D3"/>
    <w:multiLevelType w:val="hybridMultilevel"/>
    <w:tmpl w:val="7D524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885AB2"/>
    <w:multiLevelType w:val="hybridMultilevel"/>
    <w:tmpl w:val="6088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C73949"/>
    <w:multiLevelType w:val="hybridMultilevel"/>
    <w:tmpl w:val="E4B8E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8155EE"/>
    <w:multiLevelType w:val="hybridMultilevel"/>
    <w:tmpl w:val="9690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2B0D75"/>
    <w:multiLevelType w:val="hybridMultilevel"/>
    <w:tmpl w:val="D0B0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F008C1"/>
    <w:multiLevelType w:val="hybridMultilevel"/>
    <w:tmpl w:val="7440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C2118C"/>
    <w:multiLevelType w:val="hybridMultilevel"/>
    <w:tmpl w:val="AA3E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5033B2"/>
    <w:multiLevelType w:val="hybridMultilevel"/>
    <w:tmpl w:val="205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6584C"/>
    <w:multiLevelType w:val="hybridMultilevel"/>
    <w:tmpl w:val="502C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FB42296"/>
    <w:multiLevelType w:val="hybridMultilevel"/>
    <w:tmpl w:val="325EB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882BA6"/>
    <w:multiLevelType w:val="hybridMultilevel"/>
    <w:tmpl w:val="748C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37035E"/>
    <w:multiLevelType w:val="hybridMultilevel"/>
    <w:tmpl w:val="ADE6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5919D6"/>
    <w:multiLevelType w:val="hybridMultilevel"/>
    <w:tmpl w:val="D366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F14874"/>
    <w:multiLevelType w:val="hybridMultilevel"/>
    <w:tmpl w:val="06CE4A3C"/>
    <w:lvl w:ilvl="0" w:tplc="48C874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9"/>
  </w:num>
  <w:num w:numId="4">
    <w:abstractNumId w:val="28"/>
  </w:num>
  <w:num w:numId="5">
    <w:abstractNumId w:val="12"/>
  </w:num>
  <w:num w:numId="6">
    <w:abstractNumId w:val="22"/>
  </w:num>
  <w:num w:numId="7">
    <w:abstractNumId w:val="24"/>
  </w:num>
  <w:num w:numId="8">
    <w:abstractNumId w:val="23"/>
  </w:num>
  <w:num w:numId="9">
    <w:abstractNumId w:val="11"/>
  </w:num>
  <w:num w:numId="10">
    <w:abstractNumId w:val="30"/>
  </w:num>
  <w:num w:numId="11">
    <w:abstractNumId w:val="31"/>
  </w:num>
  <w:num w:numId="12">
    <w:abstractNumId w:val="43"/>
  </w:num>
  <w:num w:numId="13">
    <w:abstractNumId w:val="3"/>
  </w:num>
  <w:num w:numId="14">
    <w:abstractNumId w:val="8"/>
  </w:num>
  <w:num w:numId="15">
    <w:abstractNumId w:val="48"/>
  </w:num>
  <w:num w:numId="16">
    <w:abstractNumId w:val="45"/>
  </w:num>
  <w:num w:numId="17">
    <w:abstractNumId w:val="13"/>
  </w:num>
  <w:num w:numId="18">
    <w:abstractNumId w:val="42"/>
  </w:num>
  <w:num w:numId="19">
    <w:abstractNumId w:val="25"/>
  </w:num>
  <w:num w:numId="20">
    <w:abstractNumId w:val="18"/>
  </w:num>
  <w:num w:numId="21">
    <w:abstractNumId w:val="2"/>
  </w:num>
  <w:num w:numId="22">
    <w:abstractNumId w:val="40"/>
  </w:num>
  <w:num w:numId="23">
    <w:abstractNumId w:val="46"/>
  </w:num>
  <w:num w:numId="24">
    <w:abstractNumId w:val="17"/>
  </w:num>
  <w:num w:numId="25">
    <w:abstractNumId w:val="6"/>
  </w:num>
  <w:num w:numId="26">
    <w:abstractNumId w:val="33"/>
  </w:num>
  <w:num w:numId="27">
    <w:abstractNumId w:val="1"/>
  </w:num>
  <w:num w:numId="28">
    <w:abstractNumId w:val="4"/>
  </w:num>
  <w:num w:numId="29">
    <w:abstractNumId w:val="14"/>
  </w:num>
  <w:num w:numId="30">
    <w:abstractNumId w:val="7"/>
  </w:num>
  <w:num w:numId="31">
    <w:abstractNumId w:val="26"/>
  </w:num>
  <w:num w:numId="32">
    <w:abstractNumId w:val="37"/>
  </w:num>
  <w:num w:numId="33">
    <w:abstractNumId w:val="16"/>
  </w:num>
  <w:num w:numId="34">
    <w:abstractNumId w:val="44"/>
  </w:num>
  <w:num w:numId="35">
    <w:abstractNumId w:val="20"/>
  </w:num>
  <w:num w:numId="36">
    <w:abstractNumId w:val="32"/>
  </w:num>
  <w:num w:numId="37">
    <w:abstractNumId w:val="35"/>
  </w:num>
  <w:num w:numId="38">
    <w:abstractNumId w:val="41"/>
  </w:num>
  <w:num w:numId="39">
    <w:abstractNumId w:val="47"/>
  </w:num>
  <w:num w:numId="40">
    <w:abstractNumId w:val="27"/>
  </w:num>
  <w:num w:numId="41">
    <w:abstractNumId w:val="21"/>
  </w:num>
  <w:num w:numId="42">
    <w:abstractNumId w:val="15"/>
  </w:num>
  <w:num w:numId="43">
    <w:abstractNumId w:val="36"/>
  </w:num>
  <w:num w:numId="44">
    <w:abstractNumId w:val="38"/>
  </w:num>
  <w:num w:numId="45">
    <w:abstractNumId w:val="39"/>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C2"/>
    <w:rsid w:val="0000510F"/>
    <w:rsid w:val="00006B02"/>
    <w:rsid w:val="00007BDE"/>
    <w:rsid w:val="000125F3"/>
    <w:rsid w:val="0001524E"/>
    <w:rsid w:val="0002190C"/>
    <w:rsid w:val="00023B59"/>
    <w:rsid w:val="00032390"/>
    <w:rsid w:val="00043D42"/>
    <w:rsid w:val="000508BB"/>
    <w:rsid w:val="00054C3D"/>
    <w:rsid w:val="00056E07"/>
    <w:rsid w:val="00056FFB"/>
    <w:rsid w:val="00065298"/>
    <w:rsid w:val="00073356"/>
    <w:rsid w:val="00073E2D"/>
    <w:rsid w:val="00076146"/>
    <w:rsid w:val="0007624F"/>
    <w:rsid w:val="0007729A"/>
    <w:rsid w:val="000808F3"/>
    <w:rsid w:val="0008207E"/>
    <w:rsid w:val="00082AF3"/>
    <w:rsid w:val="00084041"/>
    <w:rsid w:val="00086F4E"/>
    <w:rsid w:val="0009055F"/>
    <w:rsid w:val="000966A3"/>
    <w:rsid w:val="000A1148"/>
    <w:rsid w:val="000A5D6C"/>
    <w:rsid w:val="000A6682"/>
    <w:rsid w:val="000A6A4C"/>
    <w:rsid w:val="000A74D7"/>
    <w:rsid w:val="000C2E1B"/>
    <w:rsid w:val="000D13F0"/>
    <w:rsid w:val="000D1DAA"/>
    <w:rsid w:val="000D3FCB"/>
    <w:rsid w:val="000D4A11"/>
    <w:rsid w:val="000D4A78"/>
    <w:rsid w:val="000F16D0"/>
    <w:rsid w:val="000F18FE"/>
    <w:rsid w:val="000F210C"/>
    <w:rsid w:val="000F6D88"/>
    <w:rsid w:val="0012247C"/>
    <w:rsid w:val="001257AF"/>
    <w:rsid w:val="00133847"/>
    <w:rsid w:val="001424A9"/>
    <w:rsid w:val="00142DB2"/>
    <w:rsid w:val="00144928"/>
    <w:rsid w:val="001513A6"/>
    <w:rsid w:val="001574D3"/>
    <w:rsid w:val="00161728"/>
    <w:rsid w:val="00162813"/>
    <w:rsid w:val="00166240"/>
    <w:rsid w:val="00174313"/>
    <w:rsid w:val="00174E70"/>
    <w:rsid w:val="00175467"/>
    <w:rsid w:val="001808A0"/>
    <w:rsid w:val="001860A8"/>
    <w:rsid w:val="00186E2D"/>
    <w:rsid w:val="001A1A0B"/>
    <w:rsid w:val="001A2855"/>
    <w:rsid w:val="001A5C00"/>
    <w:rsid w:val="001A5D09"/>
    <w:rsid w:val="001B111D"/>
    <w:rsid w:val="001C1094"/>
    <w:rsid w:val="001C2725"/>
    <w:rsid w:val="001C5770"/>
    <w:rsid w:val="001D0328"/>
    <w:rsid w:val="001E3706"/>
    <w:rsid w:val="001E3D99"/>
    <w:rsid w:val="001E4A3B"/>
    <w:rsid w:val="001E639B"/>
    <w:rsid w:val="001E7E32"/>
    <w:rsid w:val="001F0C9A"/>
    <w:rsid w:val="001F3EC7"/>
    <w:rsid w:val="001F6CD2"/>
    <w:rsid w:val="00200FAC"/>
    <w:rsid w:val="0020151F"/>
    <w:rsid w:val="00205019"/>
    <w:rsid w:val="0020643D"/>
    <w:rsid w:val="002123C2"/>
    <w:rsid w:val="002251D1"/>
    <w:rsid w:val="002259FC"/>
    <w:rsid w:val="00231D56"/>
    <w:rsid w:val="00231DDF"/>
    <w:rsid w:val="002433E6"/>
    <w:rsid w:val="0024610A"/>
    <w:rsid w:val="00246F41"/>
    <w:rsid w:val="002470C3"/>
    <w:rsid w:val="00247627"/>
    <w:rsid w:val="00252B2B"/>
    <w:rsid w:val="002636CA"/>
    <w:rsid w:val="00267B36"/>
    <w:rsid w:val="00270A58"/>
    <w:rsid w:val="00271597"/>
    <w:rsid w:val="0028324E"/>
    <w:rsid w:val="00290DE4"/>
    <w:rsid w:val="00294558"/>
    <w:rsid w:val="00294BC2"/>
    <w:rsid w:val="0029663E"/>
    <w:rsid w:val="002A0ACD"/>
    <w:rsid w:val="002A0D06"/>
    <w:rsid w:val="002B3E2E"/>
    <w:rsid w:val="002C03DD"/>
    <w:rsid w:val="002D39D2"/>
    <w:rsid w:val="002D3A79"/>
    <w:rsid w:val="002E041D"/>
    <w:rsid w:val="002E075C"/>
    <w:rsid w:val="002E11CC"/>
    <w:rsid w:val="002E6CE8"/>
    <w:rsid w:val="002F2AC5"/>
    <w:rsid w:val="00301353"/>
    <w:rsid w:val="003049E7"/>
    <w:rsid w:val="003102F2"/>
    <w:rsid w:val="00311105"/>
    <w:rsid w:val="003135AE"/>
    <w:rsid w:val="003178E1"/>
    <w:rsid w:val="003250D3"/>
    <w:rsid w:val="003252ED"/>
    <w:rsid w:val="003262F1"/>
    <w:rsid w:val="003268B5"/>
    <w:rsid w:val="0033200D"/>
    <w:rsid w:val="00333555"/>
    <w:rsid w:val="0034241C"/>
    <w:rsid w:val="00342FD0"/>
    <w:rsid w:val="003461A7"/>
    <w:rsid w:val="003511BC"/>
    <w:rsid w:val="00356B3D"/>
    <w:rsid w:val="0036578E"/>
    <w:rsid w:val="00365F99"/>
    <w:rsid w:val="003660A3"/>
    <w:rsid w:val="003719D9"/>
    <w:rsid w:val="00373898"/>
    <w:rsid w:val="00382625"/>
    <w:rsid w:val="00397260"/>
    <w:rsid w:val="003A4FB0"/>
    <w:rsid w:val="003A6BCA"/>
    <w:rsid w:val="003A7938"/>
    <w:rsid w:val="003B2F2B"/>
    <w:rsid w:val="003B4A37"/>
    <w:rsid w:val="003B6176"/>
    <w:rsid w:val="003D31F2"/>
    <w:rsid w:val="003D7E7E"/>
    <w:rsid w:val="003F5B64"/>
    <w:rsid w:val="003F66FA"/>
    <w:rsid w:val="004019BB"/>
    <w:rsid w:val="004075DC"/>
    <w:rsid w:val="00407BE0"/>
    <w:rsid w:val="0041057F"/>
    <w:rsid w:val="00411749"/>
    <w:rsid w:val="00411DA1"/>
    <w:rsid w:val="0042016C"/>
    <w:rsid w:val="0042470F"/>
    <w:rsid w:val="0042798F"/>
    <w:rsid w:val="004305CE"/>
    <w:rsid w:val="004312CF"/>
    <w:rsid w:val="0043728A"/>
    <w:rsid w:val="0044372A"/>
    <w:rsid w:val="00444B25"/>
    <w:rsid w:val="00445FE7"/>
    <w:rsid w:val="00451061"/>
    <w:rsid w:val="004530D9"/>
    <w:rsid w:val="00453C71"/>
    <w:rsid w:val="00454167"/>
    <w:rsid w:val="00460FF8"/>
    <w:rsid w:val="004727F3"/>
    <w:rsid w:val="00472E89"/>
    <w:rsid w:val="00474241"/>
    <w:rsid w:val="00477D32"/>
    <w:rsid w:val="00482610"/>
    <w:rsid w:val="00485676"/>
    <w:rsid w:val="00487DA1"/>
    <w:rsid w:val="00491B01"/>
    <w:rsid w:val="00494828"/>
    <w:rsid w:val="004A3319"/>
    <w:rsid w:val="004A4AB3"/>
    <w:rsid w:val="004B0038"/>
    <w:rsid w:val="004B6498"/>
    <w:rsid w:val="004C7ED5"/>
    <w:rsid w:val="004D1423"/>
    <w:rsid w:val="004D391C"/>
    <w:rsid w:val="004E0E81"/>
    <w:rsid w:val="004E1065"/>
    <w:rsid w:val="004F29A0"/>
    <w:rsid w:val="005019E3"/>
    <w:rsid w:val="005048AE"/>
    <w:rsid w:val="00510D00"/>
    <w:rsid w:val="005135B5"/>
    <w:rsid w:val="005206E9"/>
    <w:rsid w:val="00532791"/>
    <w:rsid w:val="00533551"/>
    <w:rsid w:val="00544235"/>
    <w:rsid w:val="00545BCF"/>
    <w:rsid w:val="00546B72"/>
    <w:rsid w:val="00547FDF"/>
    <w:rsid w:val="00550EA4"/>
    <w:rsid w:val="00551669"/>
    <w:rsid w:val="00553323"/>
    <w:rsid w:val="00555745"/>
    <w:rsid w:val="00564973"/>
    <w:rsid w:val="00570588"/>
    <w:rsid w:val="00577430"/>
    <w:rsid w:val="005857BC"/>
    <w:rsid w:val="005863A1"/>
    <w:rsid w:val="005872F1"/>
    <w:rsid w:val="00592B55"/>
    <w:rsid w:val="00596C87"/>
    <w:rsid w:val="005C0FC4"/>
    <w:rsid w:val="005C23CD"/>
    <w:rsid w:val="005C3C29"/>
    <w:rsid w:val="005C6C1D"/>
    <w:rsid w:val="005C7CC9"/>
    <w:rsid w:val="005C7D9C"/>
    <w:rsid w:val="005D29B4"/>
    <w:rsid w:val="005D31FE"/>
    <w:rsid w:val="005D53B5"/>
    <w:rsid w:val="005F770D"/>
    <w:rsid w:val="00601532"/>
    <w:rsid w:val="00606BD7"/>
    <w:rsid w:val="00621434"/>
    <w:rsid w:val="00623E03"/>
    <w:rsid w:val="00624057"/>
    <w:rsid w:val="00626AA2"/>
    <w:rsid w:val="0063055F"/>
    <w:rsid w:val="00631AA7"/>
    <w:rsid w:val="006341ED"/>
    <w:rsid w:val="0063603F"/>
    <w:rsid w:val="00643D1F"/>
    <w:rsid w:val="00643E15"/>
    <w:rsid w:val="00666031"/>
    <w:rsid w:val="006819E3"/>
    <w:rsid w:val="0068601C"/>
    <w:rsid w:val="006A67EF"/>
    <w:rsid w:val="006B2ABE"/>
    <w:rsid w:val="006C09C0"/>
    <w:rsid w:val="006E13B5"/>
    <w:rsid w:val="006E277C"/>
    <w:rsid w:val="006E781A"/>
    <w:rsid w:val="006F2B11"/>
    <w:rsid w:val="006F2BB5"/>
    <w:rsid w:val="006F4004"/>
    <w:rsid w:val="006F6B87"/>
    <w:rsid w:val="006F6F0E"/>
    <w:rsid w:val="007025F1"/>
    <w:rsid w:val="00704FE4"/>
    <w:rsid w:val="007131B9"/>
    <w:rsid w:val="00731A74"/>
    <w:rsid w:val="00733320"/>
    <w:rsid w:val="007338F6"/>
    <w:rsid w:val="00735A72"/>
    <w:rsid w:val="00743F65"/>
    <w:rsid w:val="00744CE8"/>
    <w:rsid w:val="0074500C"/>
    <w:rsid w:val="0074623F"/>
    <w:rsid w:val="007470EB"/>
    <w:rsid w:val="00747AF9"/>
    <w:rsid w:val="007575AB"/>
    <w:rsid w:val="0076431E"/>
    <w:rsid w:val="007643A0"/>
    <w:rsid w:val="0076693A"/>
    <w:rsid w:val="00766DE5"/>
    <w:rsid w:val="007676A4"/>
    <w:rsid w:val="00774EB2"/>
    <w:rsid w:val="0077784A"/>
    <w:rsid w:val="00783E7A"/>
    <w:rsid w:val="007872FB"/>
    <w:rsid w:val="00787EE2"/>
    <w:rsid w:val="007944D2"/>
    <w:rsid w:val="00797A9A"/>
    <w:rsid w:val="007A6BAA"/>
    <w:rsid w:val="007B2E02"/>
    <w:rsid w:val="007B48A1"/>
    <w:rsid w:val="007C205F"/>
    <w:rsid w:val="007C559C"/>
    <w:rsid w:val="007D4C3A"/>
    <w:rsid w:val="007E249A"/>
    <w:rsid w:val="007E638A"/>
    <w:rsid w:val="007F4905"/>
    <w:rsid w:val="00801680"/>
    <w:rsid w:val="00806391"/>
    <w:rsid w:val="00811F57"/>
    <w:rsid w:val="008135CE"/>
    <w:rsid w:val="008250B6"/>
    <w:rsid w:val="0083258B"/>
    <w:rsid w:val="00833F0F"/>
    <w:rsid w:val="00844745"/>
    <w:rsid w:val="00845120"/>
    <w:rsid w:val="008530BF"/>
    <w:rsid w:val="00857492"/>
    <w:rsid w:val="00860DF1"/>
    <w:rsid w:val="00866A3E"/>
    <w:rsid w:val="00870464"/>
    <w:rsid w:val="00871263"/>
    <w:rsid w:val="00873D07"/>
    <w:rsid w:val="0087528C"/>
    <w:rsid w:val="00881562"/>
    <w:rsid w:val="008829B9"/>
    <w:rsid w:val="00893295"/>
    <w:rsid w:val="008A197C"/>
    <w:rsid w:val="008A316B"/>
    <w:rsid w:val="008A468A"/>
    <w:rsid w:val="008A4FB9"/>
    <w:rsid w:val="008A6B65"/>
    <w:rsid w:val="008B0E17"/>
    <w:rsid w:val="008C0CF9"/>
    <w:rsid w:val="008C5A4E"/>
    <w:rsid w:val="008D0EE2"/>
    <w:rsid w:val="008D1003"/>
    <w:rsid w:val="008D5EF6"/>
    <w:rsid w:val="008D6D24"/>
    <w:rsid w:val="008D7359"/>
    <w:rsid w:val="008E0075"/>
    <w:rsid w:val="008F0200"/>
    <w:rsid w:val="008F5219"/>
    <w:rsid w:val="008F5754"/>
    <w:rsid w:val="00900869"/>
    <w:rsid w:val="00903340"/>
    <w:rsid w:val="00903FE6"/>
    <w:rsid w:val="00907F9D"/>
    <w:rsid w:val="00910ACA"/>
    <w:rsid w:val="00912B38"/>
    <w:rsid w:val="0092051A"/>
    <w:rsid w:val="00926A88"/>
    <w:rsid w:val="009332A3"/>
    <w:rsid w:val="0093452A"/>
    <w:rsid w:val="009363EF"/>
    <w:rsid w:val="00940535"/>
    <w:rsid w:val="009421C4"/>
    <w:rsid w:val="00947562"/>
    <w:rsid w:val="00965002"/>
    <w:rsid w:val="00966D4C"/>
    <w:rsid w:val="00971A94"/>
    <w:rsid w:val="00972D90"/>
    <w:rsid w:val="0097445C"/>
    <w:rsid w:val="0099059B"/>
    <w:rsid w:val="0099300D"/>
    <w:rsid w:val="00994049"/>
    <w:rsid w:val="0099504F"/>
    <w:rsid w:val="00996EE9"/>
    <w:rsid w:val="009A0CB7"/>
    <w:rsid w:val="009B0DE6"/>
    <w:rsid w:val="009B412E"/>
    <w:rsid w:val="009B741F"/>
    <w:rsid w:val="009C5D52"/>
    <w:rsid w:val="009D072A"/>
    <w:rsid w:val="009D2D48"/>
    <w:rsid w:val="009D4D0E"/>
    <w:rsid w:val="009D5F80"/>
    <w:rsid w:val="009D7A8A"/>
    <w:rsid w:val="009E493C"/>
    <w:rsid w:val="009E4C8F"/>
    <w:rsid w:val="009F29B9"/>
    <w:rsid w:val="009F4B90"/>
    <w:rsid w:val="009F512A"/>
    <w:rsid w:val="00A02804"/>
    <w:rsid w:val="00A10E66"/>
    <w:rsid w:val="00A16A10"/>
    <w:rsid w:val="00A17309"/>
    <w:rsid w:val="00A225A7"/>
    <w:rsid w:val="00A2639A"/>
    <w:rsid w:val="00A26FCC"/>
    <w:rsid w:val="00A30D9E"/>
    <w:rsid w:val="00A362B4"/>
    <w:rsid w:val="00A366EB"/>
    <w:rsid w:val="00A4263C"/>
    <w:rsid w:val="00A44FFF"/>
    <w:rsid w:val="00A50D93"/>
    <w:rsid w:val="00A51EDC"/>
    <w:rsid w:val="00A57B12"/>
    <w:rsid w:val="00A61989"/>
    <w:rsid w:val="00A64E07"/>
    <w:rsid w:val="00A7175A"/>
    <w:rsid w:val="00A759BC"/>
    <w:rsid w:val="00A926E9"/>
    <w:rsid w:val="00A94E43"/>
    <w:rsid w:val="00AA641D"/>
    <w:rsid w:val="00AA7199"/>
    <w:rsid w:val="00AA73B5"/>
    <w:rsid w:val="00AB05E3"/>
    <w:rsid w:val="00AB1465"/>
    <w:rsid w:val="00AB1C42"/>
    <w:rsid w:val="00AC17AA"/>
    <w:rsid w:val="00AD1C20"/>
    <w:rsid w:val="00AD5EB7"/>
    <w:rsid w:val="00AE62AA"/>
    <w:rsid w:val="00AE71CA"/>
    <w:rsid w:val="00AF11A7"/>
    <w:rsid w:val="00AF2677"/>
    <w:rsid w:val="00B00277"/>
    <w:rsid w:val="00B12A87"/>
    <w:rsid w:val="00B13EB9"/>
    <w:rsid w:val="00B16149"/>
    <w:rsid w:val="00B21926"/>
    <w:rsid w:val="00B230DE"/>
    <w:rsid w:val="00B34B51"/>
    <w:rsid w:val="00B40191"/>
    <w:rsid w:val="00B41D6F"/>
    <w:rsid w:val="00B42258"/>
    <w:rsid w:val="00B4519C"/>
    <w:rsid w:val="00B5042F"/>
    <w:rsid w:val="00B5196C"/>
    <w:rsid w:val="00B554F9"/>
    <w:rsid w:val="00B570C5"/>
    <w:rsid w:val="00B70A2D"/>
    <w:rsid w:val="00B71891"/>
    <w:rsid w:val="00B73CEB"/>
    <w:rsid w:val="00B7702D"/>
    <w:rsid w:val="00B77C97"/>
    <w:rsid w:val="00B81FDD"/>
    <w:rsid w:val="00B96B60"/>
    <w:rsid w:val="00BA5EA3"/>
    <w:rsid w:val="00BB2195"/>
    <w:rsid w:val="00BB21A0"/>
    <w:rsid w:val="00BC347F"/>
    <w:rsid w:val="00BC54D4"/>
    <w:rsid w:val="00BC58CE"/>
    <w:rsid w:val="00BD0357"/>
    <w:rsid w:val="00BD0978"/>
    <w:rsid w:val="00BD11C4"/>
    <w:rsid w:val="00BD1A2F"/>
    <w:rsid w:val="00BD6FD3"/>
    <w:rsid w:val="00BE1268"/>
    <w:rsid w:val="00BE26C7"/>
    <w:rsid w:val="00BE3384"/>
    <w:rsid w:val="00BF114A"/>
    <w:rsid w:val="00BF2AFB"/>
    <w:rsid w:val="00BF4166"/>
    <w:rsid w:val="00C004F4"/>
    <w:rsid w:val="00C02FD1"/>
    <w:rsid w:val="00C11075"/>
    <w:rsid w:val="00C117FB"/>
    <w:rsid w:val="00C17C29"/>
    <w:rsid w:val="00C2154C"/>
    <w:rsid w:val="00C258B2"/>
    <w:rsid w:val="00C26AE4"/>
    <w:rsid w:val="00C31011"/>
    <w:rsid w:val="00C364F2"/>
    <w:rsid w:val="00C56E6F"/>
    <w:rsid w:val="00C64A67"/>
    <w:rsid w:val="00C672AE"/>
    <w:rsid w:val="00C80D4D"/>
    <w:rsid w:val="00C83AE6"/>
    <w:rsid w:val="00C85DEB"/>
    <w:rsid w:val="00C91EAE"/>
    <w:rsid w:val="00C92F09"/>
    <w:rsid w:val="00C935A3"/>
    <w:rsid w:val="00C944A9"/>
    <w:rsid w:val="00C94931"/>
    <w:rsid w:val="00CA1899"/>
    <w:rsid w:val="00CA349D"/>
    <w:rsid w:val="00CA3513"/>
    <w:rsid w:val="00CA4D14"/>
    <w:rsid w:val="00CB2B87"/>
    <w:rsid w:val="00CC56FF"/>
    <w:rsid w:val="00CC71BF"/>
    <w:rsid w:val="00CD049D"/>
    <w:rsid w:val="00CD216B"/>
    <w:rsid w:val="00CE405C"/>
    <w:rsid w:val="00CE6144"/>
    <w:rsid w:val="00CE7ADA"/>
    <w:rsid w:val="00CE7CC7"/>
    <w:rsid w:val="00CF48CE"/>
    <w:rsid w:val="00CF4C60"/>
    <w:rsid w:val="00CF5678"/>
    <w:rsid w:val="00D013EC"/>
    <w:rsid w:val="00D0630D"/>
    <w:rsid w:val="00D130A8"/>
    <w:rsid w:val="00D158BC"/>
    <w:rsid w:val="00D20433"/>
    <w:rsid w:val="00D22302"/>
    <w:rsid w:val="00D23EBF"/>
    <w:rsid w:val="00D279FB"/>
    <w:rsid w:val="00D30875"/>
    <w:rsid w:val="00D44A9D"/>
    <w:rsid w:val="00D462B0"/>
    <w:rsid w:val="00D54287"/>
    <w:rsid w:val="00D57D73"/>
    <w:rsid w:val="00D64513"/>
    <w:rsid w:val="00D659A6"/>
    <w:rsid w:val="00D73ADB"/>
    <w:rsid w:val="00D74095"/>
    <w:rsid w:val="00D81055"/>
    <w:rsid w:val="00D86719"/>
    <w:rsid w:val="00D905A0"/>
    <w:rsid w:val="00DA3D1F"/>
    <w:rsid w:val="00DA4E55"/>
    <w:rsid w:val="00DA670D"/>
    <w:rsid w:val="00DA6D86"/>
    <w:rsid w:val="00DB4504"/>
    <w:rsid w:val="00DB4B83"/>
    <w:rsid w:val="00DB72D3"/>
    <w:rsid w:val="00DC63FB"/>
    <w:rsid w:val="00DD1CB5"/>
    <w:rsid w:val="00DD5E81"/>
    <w:rsid w:val="00DD7467"/>
    <w:rsid w:val="00DE2279"/>
    <w:rsid w:val="00DE2B12"/>
    <w:rsid w:val="00DE3564"/>
    <w:rsid w:val="00DE35E2"/>
    <w:rsid w:val="00DF22DE"/>
    <w:rsid w:val="00DF4F96"/>
    <w:rsid w:val="00DF551B"/>
    <w:rsid w:val="00E02476"/>
    <w:rsid w:val="00E208E0"/>
    <w:rsid w:val="00E24AB7"/>
    <w:rsid w:val="00E250E1"/>
    <w:rsid w:val="00E26698"/>
    <w:rsid w:val="00E27F9E"/>
    <w:rsid w:val="00E32105"/>
    <w:rsid w:val="00E4096A"/>
    <w:rsid w:val="00E47503"/>
    <w:rsid w:val="00E656C3"/>
    <w:rsid w:val="00E6581A"/>
    <w:rsid w:val="00E66291"/>
    <w:rsid w:val="00E703ED"/>
    <w:rsid w:val="00E70C1D"/>
    <w:rsid w:val="00E7306A"/>
    <w:rsid w:val="00E73965"/>
    <w:rsid w:val="00E76259"/>
    <w:rsid w:val="00E768BF"/>
    <w:rsid w:val="00E95ED9"/>
    <w:rsid w:val="00EB3A99"/>
    <w:rsid w:val="00EC25E8"/>
    <w:rsid w:val="00EC2EAA"/>
    <w:rsid w:val="00EC342F"/>
    <w:rsid w:val="00EC7716"/>
    <w:rsid w:val="00EC7D6D"/>
    <w:rsid w:val="00EC7F66"/>
    <w:rsid w:val="00ED00FB"/>
    <w:rsid w:val="00ED57EC"/>
    <w:rsid w:val="00ED7B2C"/>
    <w:rsid w:val="00EE3C17"/>
    <w:rsid w:val="00EF06B6"/>
    <w:rsid w:val="00EF11BB"/>
    <w:rsid w:val="00EF1F3C"/>
    <w:rsid w:val="00EF550F"/>
    <w:rsid w:val="00EF56DE"/>
    <w:rsid w:val="00EF5AA2"/>
    <w:rsid w:val="00F02FD1"/>
    <w:rsid w:val="00F05108"/>
    <w:rsid w:val="00F10EB0"/>
    <w:rsid w:val="00F114D6"/>
    <w:rsid w:val="00F1496E"/>
    <w:rsid w:val="00F15306"/>
    <w:rsid w:val="00F2601C"/>
    <w:rsid w:val="00F2754F"/>
    <w:rsid w:val="00F31FB8"/>
    <w:rsid w:val="00F416E7"/>
    <w:rsid w:val="00F53E9D"/>
    <w:rsid w:val="00F55DE1"/>
    <w:rsid w:val="00F71E79"/>
    <w:rsid w:val="00F7421B"/>
    <w:rsid w:val="00F77BC0"/>
    <w:rsid w:val="00F804A8"/>
    <w:rsid w:val="00F82D1B"/>
    <w:rsid w:val="00F85E62"/>
    <w:rsid w:val="00F9014A"/>
    <w:rsid w:val="00F95AB8"/>
    <w:rsid w:val="00FA2E43"/>
    <w:rsid w:val="00FA34A8"/>
    <w:rsid w:val="00FB0670"/>
    <w:rsid w:val="00FB0D62"/>
    <w:rsid w:val="00FC4A98"/>
    <w:rsid w:val="00FD2069"/>
    <w:rsid w:val="00FD7E8C"/>
    <w:rsid w:val="00FE21EB"/>
    <w:rsid w:val="00FE7B57"/>
    <w:rsid w:val="00FF3C31"/>
    <w:rsid w:val="00FF7A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8D91E"/>
  <w15:docId w15:val="{0C9284AA-759E-412D-ADDF-18BF3F2D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66"/>
  </w:style>
  <w:style w:type="paragraph" w:styleId="Heading1">
    <w:name w:val="heading 1"/>
    <w:basedOn w:val="Normal"/>
    <w:next w:val="Normal"/>
    <w:link w:val="Heading1Char"/>
    <w:qFormat/>
    <w:rsid w:val="002123C2"/>
    <w:pPr>
      <w:keepNext/>
      <w:keepLines/>
      <w:spacing w:before="160" w:after="160"/>
      <w:outlineLvl w:val="0"/>
    </w:pPr>
    <w:rPr>
      <w:rFonts w:ascii="Arial" w:eastAsiaTheme="majorEastAsia" w:hAnsi="Arial" w:cstheme="majorBidi"/>
      <w:b/>
      <w:bCs/>
      <w:color w:val="365F91" w:themeColor="accent1" w:themeShade="BF"/>
      <w:sz w:val="32"/>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heme="majorEastAsia" w:hAnsi="Arial" w:cstheme="majorBidi"/>
      <w:b/>
      <w:bCs/>
      <w:color w:val="365F91" w:themeColor="accent1" w:themeShade="BF"/>
      <w:sz w:val="32"/>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3"/>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B4519C"/>
    <w:rPr>
      <w:sz w:val="16"/>
      <w:szCs w:val="16"/>
    </w:rPr>
  </w:style>
  <w:style w:type="paragraph" w:styleId="CommentText">
    <w:name w:val="annotation text"/>
    <w:basedOn w:val="Normal"/>
    <w:link w:val="CommentTextChar"/>
    <w:unhideWhenUsed/>
    <w:rsid w:val="00B4519C"/>
    <w:pPr>
      <w:spacing w:line="240" w:lineRule="auto"/>
    </w:pPr>
    <w:rPr>
      <w:sz w:val="20"/>
      <w:szCs w:val="20"/>
    </w:rPr>
  </w:style>
  <w:style w:type="character" w:customStyle="1" w:styleId="CommentTextChar">
    <w:name w:val="Comment Text Char"/>
    <w:basedOn w:val="DefaultParagraphFont"/>
    <w:link w:val="CommentText"/>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qFormat/>
    <w:rsid w:val="007131B9"/>
    <w:pPr>
      <w:numPr>
        <w:numId w:val="13"/>
      </w:numPr>
      <w:spacing w:before="160" w:after="160"/>
    </w:pPr>
    <w:rPr>
      <w:rFonts w:ascii="Arial" w:eastAsia="Calibri" w:hAnsi="Arial" w:cs="Arial"/>
      <w:sz w:val="20"/>
    </w:rPr>
  </w:style>
  <w:style w:type="paragraph" w:styleId="FootnoteText">
    <w:name w:val="footnote text"/>
    <w:basedOn w:val="Normal"/>
    <w:link w:val="FootnoteTextChar"/>
    <w:uiPriority w:val="99"/>
    <w:semiHidden/>
    <w:unhideWhenUsed/>
    <w:rsid w:val="00E70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3ED"/>
    <w:rPr>
      <w:sz w:val="20"/>
      <w:szCs w:val="20"/>
    </w:rPr>
  </w:style>
  <w:style w:type="character" w:styleId="FootnoteReference">
    <w:name w:val="footnote reference"/>
    <w:rsid w:val="00E703ED"/>
    <w:rPr>
      <w:rFonts w:cs="Times New Roman"/>
      <w:vertAlign w:val="superscript"/>
    </w:rPr>
  </w:style>
  <w:style w:type="paragraph" w:styleId="Revision">
    <w:name w:val="Revision"/>
    <w:hidden/>
    <w:uiPriority w:val="99"/>
    <w:semiHidden/>
    <w:rsid w:val="00E250E1"/>
    <w:pPr>
      <w:spacing w:after="0" w:line="240" w:lineRule="auto"/>
    </w:pPr>
  </w:style>
  <w:style w:type="table" w:styleId="LightList-Accent6">
    <w:name w:val="Light List Accent 6"/>
    <w:basedOn w:val="TableNormal"/>
    <w:uiPriority w:val="61"/>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A468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1513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14492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1449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C91EAE"/>
    <w:pPr>
      <w:autoSpaceDE w:val="0"/>
      <w:autoSpaceDN w:val="0"/>
      <w:adjustRightInd w:val="0"/>
      <w:spacing w:after="0" w:line="240" w:lineRule="auto"/>
    </w:pPr>
    <w:rPr>
      <w:rFonts w:ascii="Calibri" w:hAnsi="Calibri" w:cs="Calibri"/>
      <w:color w:val="000000"/>
      <w:sz w:val="24"/>
      <w:szCs w:val="24"/>
    </w:rPr>
  </w:style>
  <w:style w:type="table" w:styleId="MediumShading1-Accent1">
    <w:name w:val="Medium Shading 1 Accent 1"/>
    <w:basedOn w:val="TableNormal"/>
    <w:uiPriority w:val="63"/>
    <w:rsid w:val="009B41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
    <w:name w:val="Body Text"/>
    <w:basedOn w:val="Normal"/>
    <w:link w:val="BodyTextChar"/>
    <w:rsid w:val="00DE3564"/>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DE3564"/>
    <w:rPr>
      <w:rFonts w:ascii="Times New Roman" w:eastAsia="Times New Roman" w:hAnsi="Times New Roman" w:cs="Times New Roman"/>
      <w:sz w:val="26"/>
      <w:szCs w:val="20"/>
    </w:rPr>
  </w:style>
  <w:style w:type="character" w:styleId="UnresolvedMention">
    <w:name w:val="Unresolved Mention"/>
    <w:basedOn w:val="DefaultParagraphFont"/>
    <w:uiPriority w:val="99"/>
    <w:semiHidden/>
    <w:unhideWhenUsed/>
    <w:rsid w:val="00023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916101">
      <w:bodyDiv w:val="1"/>
      <w:marLeft w:val="0"/>
      <w:marRight w:val="0"/>
      <w:marTop w:val="0"/>
      <w:marBottom w:val="0"/>
      <w:divBdr>
        <w:top w:val="none" w:sz="0" w:space="0" w:color="auto"/>
        <w:left w:val="none" w:sz="0" w:space="0" w:color="auto"/>
        <w:bottom w:val="none" w:sz="0" w:space="0" w:color="auto"/>
        <w:right w:val="none" w:sz="0" w:space="0" w:color="auto"/>
      </w:divBdr>
    </w:div>
    <w:div w:id="237519275">
      <w:bodyDiv w:val="1"/>
      <w:marLeft w:val="0"/>
      <w:marRight w:val="0"/>
      <w:marTop w:val="0"/>
      <w:marBottom w:val="0"/>
      <w:divBdr>
        <w:top w:val="none" w:sz="0" w:space="0" w:color="auto"/>
        <w:left w:val="none" w:sz="0" w:space="0" w:color="auto"/>
        <w:bottom w:val="none" w:sz="0" w:space="0" w:color="auto"/>
        <w:right w:val="none" w:sz="0" w:space="0" w:color="auto"/>
      </w:divBdr>
    </w:div>
    <w:div w:id="252280036">
      <w:bodyDiv w:val="1"/>
      <w:marLeft w:val="0"/>
      <w:marRight w:val="0"/>
      <w:marTop w:val="0"/>
      <w:marBottom w:val="0"/>
      <w:divBdr>
        <w:top w:val="none" w:sz="0" w:space="0" w:color="auto"/>
        <w:left w:val="none" w:sz="0" w:space="0" w:color="auto"/>
        <w:bottom w:val="none" w:sz="0" w:space="0" w:color="auto"/>
        <w:right w:val="none" w:sz="0" w:space="0" w:color="auto"/>
      </w:divBdr>
    </w:div>
    <w:div w:id="268201249">
      <w:bodyDiv w:val="1"/>
      <w:marLeft w:val="0"/>
      <w:marRight w:val="0"/>
      <w:marTop w:val="0"/>
      <w:marBottom w:val="0"/>
      <w:divBdr>
        <w:top w:val="none" w:sz="0" w:space="0" w:color="auto"/>
        <w:left w:val="none" w:sz="0" w:space="0" w:color="auto"/>
        <w:bottom w:val="none" w:sz="0" w:space="0" w:color="auto"/>
        <w:right w:val="none" w:sz="0" w:space="0" w:color="auto"/>
      </w:divBdr>
    </w:div>
    <w:div w:id="349721092">
      <w:bodyDiv w:val="1"/>
      <w:marLeft w:val="0"/>
      <w:marRight w:val="0"/>
      <w:marTop w:val="0"/>
      <w:marBottom w:val="0"/>
      <w:divBdr>
        <w:top w:val="none" w:sz="0" w:space="0" w:color="auto"/>
        <w:left w:val="none" w:sz="0" w:space="0" w:color="auto"/>
        <w:bottom w:val="none" w:sz="0" w:space="0" w:color="auto"/>
        <w:right w:val="none" w:sz="0" w:space="0" w:color="auto"/>
      </w:divBdr>
    </w:div>
    <w:div w:id="373651225">
      <w:bodyDiv w:val="1"/>
      <w:marLeft w:val="0"/>
      <w:marRight w:val="0"/>
      <w:marTop w:val="0"/>
      <w:marBottom w:val="0"/>
      <w:divBdr>
        <w:top w:val="none" w:sz="0" w:space="0" w:color="auto"/>
        <w:left w:val="none" w:sz="0" w:space="0" w:color="auto"/>
        <w:bottom w:val="none" w:sz="0" w:space="0" w:color="auto"/>
        <w:right w:val="none" w:sz="0" w:space="0" w:color="auto"/>
      </w:divBdr>
    </w:div>
    <w:div w:id="394819464">
      <w:bodyDiv w:val="1"/>
      <w:marLeft w:val="0"/>
      <w:marRight w:val="0"/>
      <w:marTop w:val="0"/>
      <w:marBottom w:val="0"/>
      <w:divBdr>
        <w:top w:val="none" w:sz="0" w:space="0" w:color="auto"/>
        <w:left w:val="none" w:sz="0" w:space="0" w:color="auto"/>
        <w:bottom w:val="none" w:sz="0" w:space="0" w:color="auto"/>
        <w:right w:val="none" w:sz="0" w:space="0" w:color="auto"/>
      </w:divBdr>
    </w:div>
    <w:div w:id="428739534">
      <w:bodyDiv w:val="1"/>
      <w:marLeft w:val="0"/>
      <w:marRight w:val="0"/>
      <w:marTop w:val="0"/>
      <w:marBottom w:val="0"/>
      <w:divBdr>
        <w:top w:val="none" w:sz="0" w:space="0" w:color="auto"/>
        <w:left w:val="none" w:sz="0" w:space="0" w:color="auto"/>
        <w:bottom w:val="none" w:sz="0" w:space="0" w:color="auto"/>
        <w:right w:val="none" w:sz="0" w:space="0" w:color="auto"/>
      </w:divBdr>
    </w:div>
    <w:div w:id="1057506365">
      <w:bodyDiv w:val="1"/>
      <w:marLeft w:val="0"/>
      <w:marRight w:val="0"/>
      <w:marTop w:val="0"/>
      <w:marBottom w:val="0"/>
      <w:divBdr>
        <w:top w:val="none" w:sz="0" w:space="0" w:color="auto"/>
        <w:left w:val="none" w:sz="0" w:space="0" w:color="auto"/>
        <w:bottom w:val="none" w:sz="0" w:space="0" w:color="auto"/>
        <w:right w:val="none" w:sz="0" w:space="0" w:color="auto"/>
      </w:divBdr>
    </w:div>
    <w:div w:id="1132402332">
      <w:bodyDiv w:val="1"/>
      <w:marLeft w:val="0"/>
      <w:marRight w:val="0"/>
      <w:marTop w:val="0"/>
      <w:marBottom w:val="0"/>
      <w:divBdr>
        <w:top w:val="none" w:sz="0" w:space="0" w:color="auto"/>
        <w:left w:val="none" w:sz="0" w:space="0" w:color="auto"/>
        <w:bottom w:val="none" w:sz="0" w:space="0" w:color="auto"/>
        <w:right w:val="none" w:sz="0" w:space="0" w:color="auto"/>
      </w:divBdr>
    </w:div>
    <w:div w:id="1184054551">
      <w:bodyDiv w:val="1"/>
      <w:marLeft w:val="0"/>
      <w:marRight w:val="0"/>
      <w:marTop w:val="0"/>
      <w:marBottom w:val="0"/>
      <w:divBdr>
        <w:top w:val="none" w:sz="0" w:space="0" w:color="auto"/>
        <w:left w:val="none" w:sz="0" w:space="0" w:color="auto"/>
        <w:bottom w:val="none" w:sz="0" w:space="0" w:color="auto"/>
        <w:right w:val="none" w:sz="0" w:space="0" w:color="auto"/>
      </w:divBdr>
    </w:div>
    <w:div w:id="1323511705">
      <w:bodyDiv w:val="1"/>
      <w:marLeft w:val="0"/>
      <w:marRight w:val="0"/>
      <w:marTop w:val="0"/>
      <w:marBottom w:val="0"/>
      <w:divBdr>
        <w:top w:val="none" w:sz="0" w:space="0" w:color="auto"/>
        <w:left w:val="none" w:sz="0" w:space="0" w:color="auto"/>
        <w:bottom w:val="none" w:sz="0" w:space="0" w:color="auto"/>
        <w:right w:val="none" w:sz="0" w:space="0" w:color="auto"/>
      </w:divBdr>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1525560874">
      <w:bodyDiv w:val="1"/>
      <w:marLeft w:val="0"/>
      <w:marRight w:val="0"/>
      <w:marTop w:val="0"/>
      <w:marBottom w:val="0"/>
      <w:divBdr>
        <w:top w:val="none" w:sz="0" w:space="0" w:color="auto"/>
        <w:left w:val="none" w:sz="0" w:space="0" w:color="auto"/>
        <w:bottom w:val="none" w:sz="0" w:space="0" w:color="auto"/>
        <w:right w:val="none" w:sz="0" w:space="0" w:color="auto"/>
      </w:divBdr>
    </w:div>
    <w:div w:id="1541045348">
      <w:bodyDiv w:val="1"/>
      <w:marLeft w:val="0"/>
      <w:marRight w:val="0"/>
      <w:marTop w:val="0"/>
      <w:marBottom w:val="0"/>
      <w:divBdr>
        <w:top w:val="none" w:sz="0" w:space="0" w:color="auto"/>
        <w:left w:val="none" w:sz="0" w:space="0" w:color="auto"/>
        <w:bottom w:val="none" w:sz="0" w:space="0" w:color="auto"/>
        <w:right w:val="none" w:sz="0" w:space="0" w:color="auto"/>
      </w:divBdr>
    </w:div>
    <w:div w:id="1627004973">
      <w:bodyDiv w:val="1"/>
      <w:marLeft w:val="0"/>
      <w:marRight w:val="0"/>
      <w:marTop w:val="0"/>
      <w:marBottom w:val="0"/>
      <w:divBdr>
        <w:top w:val="none" w:sz="0" w:space="0" w:color="auto"/>
        <w:left w:val="none" w:sz="0" w:space="0" w:color="auto"/>
        <w:bottom w:val="none" w:sz="0" w:space="0" w:color="auto"/>
        <w:right w:val="none" w:sz="0" w:space="0" w:color="auto"/>
      </w:divBdr>
    </w:div>
    <w:div w:id="1761178218">
      <w:bodyDiv w:val="1"/>
      <w:marLeft w:val="0"/>
      <w:marRight w:val="0"/>
      <w:marTop w:val="0"/>
      <w:marBottom w:val="0"/>
      <w:divBdr>
        <w:top w:val="none" w:sz="0" w:space="0" w:color="auto"/>
        <w:left w:val="none" w:sz="0" w:space="0" w:color="auto"/>
        <w:bottom w:val="none" w:sz="0" w:space="0" w:color="auto"/>
        <w:right w:val="none" w:sz="0" w:space="0" w:color="auto"/>
      </w:divBdr>
    </w:div>
    <w:div w:id="1764060658">
      <w:bodyDiv w:val="1"/>
      <w:marLeft w:val="0"/>
      <w:marRight w:val="0"/>
      <w:marTop w:val="0"/>
      <w:marBottom w:val="0"/>
      <w:divBdr>
        <w:top w:val="none" w:sz="0" w:space="0" w:color="auto"/>
        <w:left w:val="none" w:sz="0" w:space="0" w:color="auto"/>
        <w:bottom w:val="none" w:sz="0" w:space="0" w:color="auto"/>
        <w:right w:val="none" w:sz="0" w:space="0" w:color="auto"/>
      </w:divBdr>
    </w:div>
    <w:div w:id="1796489041">
      <w:bodyDiv w:val="1"/>
      <w:marLeft w:val="0"/>
      <w:marRight w:val="0"/>
      <w:marTop w:val="0"/>
      <w:marBottom w:val="0"/>
      <w:divBdr>
        <w:top w:val="none" w:sz="0" w:space="0" w:color="auto"/>
        <w:left w:val="none" w:sz="0" w:space="0" w:color="auto"/>
        <w:bottom w:val="none" w:sz="0" w:space="0" w:color="auto"/>
        <w:right w:val="none" w:sz="0" w:space="0" w:color="auto"/>
      </w:divBdr>
    </w:div>
    <w:div w:id="1844931513">
      <w:bodyDiv w:val="1"/>
      <w:marLeft w:val="0"/>
      <w:marRight w:val="0"/>
      <w:marTop w:val="0"/>
      <w:marBottom w:val="0"/>
      <w:divBdr>
        <w:top w:val="none" w:sz="0" w:space="0" w:color="auto"/>
        <w:left w:val="none" w:sz="0" w:space="0" w:color="auto"/>
        <w:bottom w:val="none" w:sz="0" w:space="0" w:color="auto"/>
        <w:right w:val="none" w:sz="0" w:space="0" w:color="auto"/>
      </w:divBdr>
    </w:div>
    <w:div w:id="2063674005">
      <w:bodyDiv w:val="1"/>
      <w:marLeft w:val="0"/>
      <w:marRight w:val="0"/>
      <w:marTop w:val="0"/>
      <w:marBottom w:val="0"/>
      <w:divBdr>
        <w:top w:val="none" w:sz="0" w:space="0" w:color="auto"/>
        <w:left w:val="none" w:sz="0" w:space="0" w:color="auto"/>
        <w:bottom w:val="none" w:sz="0" w:space="0" w:color="auto"/>
        <w:right w:val="none" w:sz="0" w:space="0" w:color="auto"/>
      </w:divBdr>
    </w:div>
    <w:div w:id="2076661528">
      <w:bodyDiv w:val="1"/>
      <w:marLeft w:val="0"/>
      <w:marRight w:val="0"/>
      <w:marTop w:val="0"/>
      <w:marBottom w:val="0"/>
      <w:divBdr>
        <w:top w:val="none" w:sz="0" w:space="0" w:color="auto"/>
        <w:left w:val="none" w:sz="0" w:space="0" w:color="auto"/>
        <w:bottom w:val="none" w:sz="0" w:space="0" w:color="auto"/>
        <w:right w:val="none" w:sz="0" w:space="0" w:color="auto"/>
      </w:divBdr>
    </w:div>
    <w:div w:id="2084452013">
      <w:bodyDiv w:val="1"/>
      <w:marLeft w:val="0"/>
      <w:marRight w:val="0"/>
      <w:marTop w:val="0"/>
      <w:marBottom w:val="0"/>
      <w:divBdr>
        <w:top w:val="none" w:sz="0" w:space="0" w:color="auto"/>
        <w:left w:val="none" w:sz="0" w:space="0" w:color="auto"/>
        <w:bottom w:val="none" w:sz="0" w:space="0" w:color="auto"/>
        <w:right w:val="none" w:sz="0" w:space="0" w:color="auto"/>
      </w:divBdr>
    </w:div>
    <w:div w:id="2121951568">
      <w:bodyDiv w:val="1"/>
      <w:marLeft w:val="0"/>
      <w:marRight w:val="0"/>
      <w:marTop w:val="0"/>
      <w:marBottom w:val="0"/>
      <w:divBdr>
        <w:top w:val="none" w:sz="0" w:space="0" w:color="auto"/>
        <w:left w:val="none" w:sz="0" w:space="0" w:color="auto"/>
        <w:bottom w:val="none" w:sz="0" w:space="0" w:color="auto"/>
        <w:right w:val="none" w:sz="0" w:space="0" w:color="auto"/>
      </w:divBdr>
    </w:div>
    <w:div w:id="21234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cte/cvte/perkins-v/perkins-indicators.docx" TargetMode="External"/><Relationship Id="rId18" Type="http://schemas.openxmlformats.org/officeDocument/2006/relationships/hyperlink" Target="http://www.doe.mass.edu/ccte/early-college/" TargetMode="External"/><Relationship Id="rId26" Type="http://schemas.openxmlformats.org/officeDocument/2006/relationships/hyperlink" Target="https://www.gpo.gov/fdsys/granule/CFR-2014-title2-vol1/CFR-2014-title2-vol1-part200/content-detail.html" TargetMode="External"/><Relationship Id="rId3" Type="http://schemas.openxmlformats.org/officeDocument/2006/relationships/customXml" Target="../customXml/item3.xml"/><Relationship Id="rId21" Type="http://schemas.openxmlformats.org/officeDocument/2006/relationships/hyperlink" Target="http://www.doe.mass.edu/federalgrants/perkins/"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ccte/early-college/" TargetMode="External"/><Relationship Id="rId25" Type="http://schemas.openxmlformats.org/officeDocument/2006/relationships/hyperlink" Target="http://www.doe.mass.edu/federalgrants/perkins/allowable-cost.doc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doe.mass.edu/ccte/innovation-pathways" TargetMode="External"/><Relationship Id="rId20" Type="http://schemas.openxmlformats.org/officeDocument/2006/relationships/hyperlink" Target="https://www.mass.edu/strategic/cdep.as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federalgrants/perkins/"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doe.mass.edu/ccte/innovation-pathways" TargetMode="External"/><Relationship Id="rId23" Type="http://schemas.openxmlformats.org/officeDocument/2006/relationships/hyperlink" Target="https://www.gpo.gov/fdsys/granule/CFR-2014-title2-vol1/CFR-2014-title2-vol1-part200/content-detail.html" TargetMode="External"/><Relationship Id="rId28" Type="http://schemas.openxmlformats.org/officeDocument/2006/relationships/hyperlink" Target="http://www.doe.mass.edu/federalgrants/perkins/allowable-cost.docx"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mass.edu/strategic/cdep.as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cte/cvte/perkins-v/perkins-indicators.docx" TargetMode="External"/><Relationship Id="rId22" Type="http://schemas.openxmlformats.org/officeDocument/2006/relationships/hyperlink" Target="http://www.doe.mass.edu/federalgrants/perkins/allowable-cost.docx" TargetMode="External"/><Relationship Id="rId27" Type="http://schemas.openxmlformats.org/officeDocument/2006/relationships/hyperlink" Target="http://www.doe.mass.edu/federalgrants/perkins/allowable-cost.docx"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DESE-231-61939</_dlc_DocId>
    <_dlc_DocIdUrl xmlns="733efe1c-5bbe-4968-87dc-d400e65c879f">
      <Url>https://sharepoint.doemass.org/ese/webteam/cps/_layouts/DocIdRedir.aspx?ID=DESE-231-61939</Url>
      <Description>DESE-231-61939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2EF44-4F1A-4103-865D-02093DD69255}">
  <ds:schemaRefs>
    <ds:schemaRef ds:uri="http://schemas.microsoft.com/sharepoint/v3/contenttype/forms"/>
  </ds:schemaRefs>
</ds:datastoreItem>
</file>

<file path=customXml/itemProps2.xml><?xml version="1.0" encoding="utf-8"?>
<ds:datastoreItem xmlns:ds="http://schemas.openxmlformats.org/officeDocument/2006/customXml" ds:itemID="{A6FE49AA-47DF-49B4-A345-AD2E547F3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348AF-F464-4617-9151-3A8F4DA679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7442160-AC46-4652-90C6-9FEE0491CA2A}">
  <ds:schemaRefs>
    <ds:schemaRef ds:uri="http://schemas.microsoft.com/sharepoint/events"/>
  </ds:schemaRefs>
</ds:datastoreItem>
</file>

<file path=customXml/itemProps5.xml><?xml version="1.0" encoding="utf-8"?>
<ds:datastoreItem xmlns:ds="http://schemas.openxmlformats.org/officeDocument/2006/customXml" ds:itemID="{BA976520-C403-4F60-93A5-8794F3CB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Perkins HQCCP</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HQCCP</dc:title>
  <dc:subject/>
  <dc:creator>DESE</dc:creator>
  <cp:keywords/>
  <dc:description/>
  <cp:lastModifiedBy>Zou, Dong (EOE)</cp:lastModifiedBy>
  <cp:revision>4</cp:revision>
  <cp:lastPrinted>2019-06-11T18:46:00Z</cp:lastPrinted>
  <dcterms:created xsi:type="dcterms:W3CDTF">2020-06-30T13:06:00Z</dcterms:created>
  <dcterms:modified xsi:type="dcterms:W3CDTF">2020-06-30T13:26:00Z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30 2020</vt:lpwstr>
  </property>
</Properties>
</file>