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E9D3" w14:textId="77777777" w:rsidR="00937307" w:rsidRDefault="00937307" w:rsidP="00937307">
      <w:pPr>
        <w:pStyle w:val="Heading1"/>
        <w:tabs>
          <w:tab w:val="clear" w:pos="540"/>
          <w:tab w:val="left" w:pos="1800"/>
        </w:tabs>
        <w:ind w:right="-540"/>
        <w:jc w:val="center"/>
        <w:rPr>
          <w:color w:val="auto"/>
          <w:sz w:val="32"/>
        </w:rPr>
      </w:pPr>
      <w:bookmarkStart w:id="0" w:name="_Toc138169565"/>
      <w:bookmarkStart w:id="1" w:name="_Toc145076878"/>
    </w:p>
    <w:p w14:paraId="59630F1B" w14:textId="77777777" w:rsidR="00937307" w:rsidRDefault="00937307" w:rsidP="00937307">
      <w:pPr>
        <w:pStyle w:val="Heading1"/>
        <w:tabs>
          <w:tab w:val="clear" w:pos="540"/>
          <w:tab w:val="left" w:pos="1800"/>
        </w:tabs>
        <w:ind w:right="-540"/>
        <w:jc w:val="center"/>
        <w:rPr>
          <w:color w:val="auto"/>
          <w:sz w:val="32"/>
        </w:rPr>
      </w:pPr>
    </w:p>
    <w:p w14:paraId="48475547" w14:textId="77777777" w:rsidR="00937307" w:rsidRDefault="00937307" w:rsidP="00937307"/>
    <w:p w14:paraId="739F4FCB" w14:textId="77777777" w:rsidR="00937307" w:rsidRDefault="00937307" w:rsidP="00937307"/>
    <w:p w14:paraId="41C51821" w14:textId="77777777" w:rsidR="00937307" w:rsidRDefault="00937307" w:rsidP="00937307"/>
    <w:p w14:paraId="413B8DB8" w14:textId="77777777" w:rsidR="00937307" w:rsidRDefault="00937307" w:rsidP="00937307"/>
    <w:p w14:paraId="24B89C9E" w14:textId="77777777" w:rsidR="00937307" w:rsidRDefault="00937307" w:rsidP="00937307"/>
    <w:p w14:paraId="595D2BE5" w14:textId="77777777" w:rsidR="00937307" w:rsidRDefault="00937307" w:rsidP="00937307"/>
    <w:p w14:paraId="6669C981" w14:textId="77777777" w:rsidR="00937307" w:rsidRDefault="00937307" w:rsidP="00937307"/>
    <w:p w14:paraId="0364477D" w14:textId="77777777" w:rsidR="00937307" w:rsidRDefault="00937307" w:rsidP="00937307"/>
    <w:p w14:paraId="39172FEC" w14:textId="77777777" w:rsidR="00937307" w:rsidRDefault="00937307" w:rsidP="00937307"/>
    <w:p w14:paraId="49963C56" w14:textId="77777777" w:rsidR="00937307" w:rsidRDefault="00937307" w:rsidP="00937307"/>
    <w:p w14:paraId="239593A6" w14:textId="77777777" w:rsidR="00937307" w:rsidRPr="000A5B4A" w:rsidRDefault="00937307" w:rsidP="00937307"/>
    <w:p w14:paraId="3C4E0A11" w14:textId="36D1DDFB" w:rsidR="00937307" w:rsidRPr="004D559F" w:rsidRDefault="00937307" w:rsidP="00937307">
      <w:pPr>
        <w:pStyle w:val="Heading1"/>
        <w:tabs>
          <w:tab w:val="clear" w:pos="540"/>
          <w:tab w:val="left" w:pos="1800"/>
        </w:tabs>
        <w:ind w:right="-540"/>
        <w:jc w:val="center"/>
        <w:rPr>
          <w:color w:val="auto"/>
          <w:sz w:val="32"/>
        </w:rPr>
      </w:pPr>
      <w:r>
        <w:rPr>
          <w:color w:val="auto"/>
          <w:sz w:val="32"/>
        </w:rPr>
        <w:t>Procedures for Providing the Human Read-Aloud</w:t>
      </w:r>
    </w:p>
    <w:p w14:paraId="18E501F3" w14:textId="77777777" w:rsidR="00937307" w:rsidRPr="004D559F" w:rsidRDefault="00937307" w:rsidP="00937307">
      <w:pPr>
        <w:jc w:val="center"/>
        <w:rPr>
          <w:b/>
          <w:sz w:val="32"/>
          <w:szCs w:val="32"/>
        </w:rPr>
      </w:pPr>
      <w:r w:rsidRPr="004D559F">
        <w:rPr>
          <w:b/>
          <w:sz w:val="32"/>
          <w:szCs w:val="32"/>
        </w:rPr>
        <w:t>(</w:t>
      </w:r>
      <w:r>
        <w:rPr>
          <w:b/>
          <w:sz w:val="32"/>
          <w:szCs w:val="32"/>
        </w:rPr>
        <w:t>Excerpted from the</w:t>
      </w:r>
      <w:r w:rsidRPr="004D559F">
        <w:rPr>
          <w:b/>
          <w:sz w:val="32"/>
          <w:szCs w:val="32"/>
        </w:rPr>
        <w:t xml:space="preserve"> Accessibility and Accommodations Manual</w:t>
      </w:r>
      <w:r>
        <w:rPr>
          <w:b/>
          <w:sz w:val="32"/>
          <w:szCs w:val="32"/>
        </w:rPr>
        <w:t xml:space="preserve"> for the 2023–24 MCAS</w:t>
      </w:r>
      <w:r w:rsidRPr="004D559F">
        <w:rPr>
          <w:b/>
          <w:sz w:val="32"/>
          <w:szCs w:val="32"/>
        </w:rPr>
        <w:t>)</w:t>
      </w:r>
    </w:p>
    <w:p w14:paraId="24887D9A" w14:textId="77777777" w:rsidR="00937307" w:rsidRDefault="00937307" w:rsidP="00937307">
      <w:pPr>
        <w:spacing w:after="160" w:line="259" w:lineRule="auto"/>
        <w:rPr>
          <w:rFonts w:cs="Calibri"/>
          <w:b/>
          <w:bCs/>
          <w:color w:val="4472C4" w:themeColor="accent1"/>
          <w:sz w:val="36"/>
          <w:szCs w:val="32"/>
        </w:rPr>
      </w:pPr>
      <w:r>
        <w:rPr>
          <w:rFonts w:cs="Calibri"/>
          <w:b/>
          <w:bCs/>
          <w:color w:val="4472C4" w:themeColor="accent1"/>
          <w:sz w:val="36"/>
          <w:szCs w:val="32"/>
        </w:rPr>
        <w:br w:type="page"/>
      </w:r>
    </w:p>
    <w:p w14:paraId="6C6EFB49" w14:textId="77777777" w:rsidR="009A605E" w:rsidRPr="0041042D" w:rsidRDefault="009A605E" w:rsidP="009A605E">
      <w:pPr>
        <w:pStyle w:val="Heading1"/>
      </w:pPr>
      <w:r w:rsidRPr="0041042D">
        <w:lastRenderedPageBreak/>
        <w:t xml:space="preserve">Appendix </w:t>
      </w:r>
      <w:bookmarkEnd w:id="0"/>
      <w:r>
        <w:t>C</w:t>
      </w:r>
      <w:r w:rsidRPr="0041042D">
        <w:t>:</w:t>
      </w:r>
      <w:bookmarkStart w:id="2" w:name="_Hlk138165305"/>
      <w:r w:rsidRPr="0041042D">
        <w:t xml:space="preserve"> Procedures for Providing the Human Read-Aloud</w:t>
      </w:r>
      <w:bookmarkEnd w:id="1"/>
    </w:p>
    <w:p w14:paraId="78AB06D8" w14:textId="77777777" w:rsidR="009A605E" w:rsidRPr="00607B0A" w:rsidRDefault="009A605E" w:rsidP="009A605E">
      <w:pPr>
        <w:pStyle w:val="Heading2"/>
      </w:pPr>
      <w:bookmarkStart w:id="3" w:name="_Toc145076879"/>
      <w:bookmarkEnd w:id="2"/>
      <w:r>
        <w:t>Procedures for Standard Oral Presentation</w:t>
      </w:r>
      <w:bookmarkEnd w:id="3"/>
    </w:p>
    <w:p w14:paraId="543278E4" w14:textId="77777777" w:rsidR="009A605E" w:rsidRDefault="009A605E" w:rsidP="009A605E">
      <w:pPr>
        <w:pStyle w:val="BodyText"/>
        <w:shd w:val="clear" w:color="auto" w:fill="FFFFFF" w:themeFill="background1"/>
        <w:spacing w:before="120" w:after="120" w:line="261" w:lineRule="auto"/>
        <w:ind w:right="120"/>
        <w:contextualSpacing/>
        <w:rPr>
          <w:rFonts w:ascii="Calibri" w:hAnsi="Calibri" w:cs="Calibri"/>
          <w:b w:val="0"/>
          <w:bCs/>
        </w:rPr>
      </w:pPr>
      <w:r w:rsidRPr="0041042D">
        <w:rPr>
          <w:rFonts w:ascii="Calibri" w:hAnsi="Calibri" w:cs="Calibri"/>
          <w:b w:val="0"/>
          <w:bCs/>
        </w:rPr>
        <w:t xml:space="preserve">Human </w:t>
      </w:r>
      <w:r>
        <w:rPr>
          <w:rFonts w:ascii="Calibri" w:hAnsi="Calibri" w:cs="Calibri"/>
          <w:b w:val="0"/>
          <w:bCs/>
        </w:rPr>
        <w:t>r</w:t>
      </w:r>
      <w:r w:rsidRPr="0041042D">
        <w:rPr>
          <w:rFonts w:ascii="Calibri" w:hAnsi="Calibri" w:cs="Calibri"/>
          <w:b w:val="0"/>
          <w:bCs/>
        </w:rPr>
        <w:t xml:space="preserve">eaders who provide the </w:t>
      </w:r>
      <w:r>
        <w:rPr>
          <w:rFonts w:ascii="Calibri" w:hAnsi="Calibri" w:cs="Calibri"/>
          <w:b w:val="0"/>
          <w:bCs/>
        </w:rPr>
        <w:t xml:space="preserve">read-aloud </w:t>
      </w:r>
      <w:r w:rsidRPr="0041042D">
        <w:rPr>
          <w:rFonts w:ascii="Calibri" w:hAnsi="Calibri" w:cs="Calibri"/>
          <w:b w:val="0"/>
          <w:bCs/>
        </w:rPr>
        <w:t>accommodation</w:t>
      </w:r>
      <w:r>
        <w:rPr>
          <w:rFonts w:ascii="Calibri" w:hAnsi="Calibri" w:cs="Calibri"/>
          <w:b w:val="0"/>
          <w:bCs/>
        </w:rPr>
        <w:t xml:space="preserve"> (A5, SA1.1, EL3.2)</w:t>
      </w:r>
      <w:r w:rsidRPr="0041042D">
        <w:rPr>
          <w:rFonts w:ascii="Calibri" w:hAnsi="Calibri" w:cs="Calibri"/>
          <w:b w:val="0"/>
          <w:bCs/>
        </w:rPr>
        <w:t xml:space="preserve"> to a student on the </w:t>
      </w:r>
      <w:r>
        <w:rPr>
          <w:rFonts w:ascii="Calibri" w:hAnsi="Calibri" w:cs="Calibri"/>
          <w:b w:val="0"/>
          <w:bCs/>
        </w:rPr>
        <w:t xml:space="preserve">MCAS tests </w:t>
      </w:r>
      <w:r w:rsidRPr="0041042D">
        <w:rPr>
          <w:rFonts w:ascii="Calibri" w:hAnsi="Calibri" w:cs="Calibri"/>
          <w:b w:val="0"/>
          <w:bCs/>
        </w:rPr>
        <w:t xml:space="preserve">must follow these procedures to ensure </w:t>
      </w:r>
      <w:r>
        <w:rPr>
          <w:rFonts w:ascii="Calibri" w:hAnsi="Calibri" w:cs="Calibri"/>
          <w:b w:val="0"/>
          <w:bCs/>
        </w:rPr>
        <w:t>a</w:t>
      </w:r>
      <w:r w:rsidRPr="00607B0A">
        <w:rPr>
          <w:rFonts w:ascii="Calibri" w:hAnsi="Calibri" w:cs="Calibri"/>
          <w:b w:val="0"/>
          <w:bCs/>
        </w:rPr>
        <w:t xml:space="preserve"> standard oral presentation of the </w:t>
      </w:r>
      <w:r w:rsidRPr="0041042D">
        <w:rPr>
          <w:rFonts w:ascii="Calibri" w:hAnsi="Calibri" w:cs="Calibri"/>
          <w:b w:val="0"/>
          <w:bCs/>
        </w:rPr>
        <w:t>assessments</w:t>
      </w:r>
      <w:r>
        <w:rPr>
          <w:rFonts w:ascii="Calibri" w:hAnsi="Calibri" w:cs="Calibri"/>
          <w:b w:val="0"/>
          <w:bCs/>
        </w:rPr>
        <w:t>:</w:t>
      </w:r>
    </w:p>
    <w:p w14:paraId="2F549660" w14:textId="77777777" w:rsidR="009A605E" w:rsidRDefault="009A605E" w:rsidP="009A605E">
      <w:pPr>
        <w:pStyle w:val="BodyText"/>
        <w:numPr>
          <w:ilvl w:val="0"/>
          <w:numId w:val="4"/>
        </w:numPr>
        <w:shd w:val="clear" w:color="auto" w:fill="FFFFFF" w:themeFill="background1"/>
        <w:spacing w:before="120" w:after="120" w:line="261" w:lineRule="auto"/>
        <w:ind w:right="120"/>
        <w:contextualSpacing/>
        <w:rPr>
          <w:rFonts w:ascii="Calibri" w:hAnsi="Calibri" w:cs="Calibri"/>
          <w:b w:val="0"/>
          <w:bCs/>
        </w:rPr>
      </w:pPr>
      <w:r w:rsidRPr="0041042D">
        <w:rPr>
          <w:rFonts w:ascii="Calibri" w:hAnsi="Calibri" w:cs="Calibri"/>
          <w:b w:val="0"/>
          <w:bCs/>
        </w:rPr>
        <w:t>Readers must be trained locally to administer each assessment, as indicated in the</w:t>
      </w:r>
      <w:r>
        <w:rPr>
          <w:rFonts w:ascii="Calibri" w:hAnsi="Calibri" w:cs="Calibri"/>
          <w:b w:val="0"/>
          <w:bCs/>
        </w:rPr>
        <w:t xml:space="preserve"> appropriate</w:t>
      </w:r>
      <w:r w:rsidRPr="0041042D">
        <w:rPr>
          <w:rFonts w:ascii="Calibri" w:hAnsi="Calibri" w:cs="Calibri"/>
          <w:b w:val="0"/>
          <w:bCs/>
        </w:rPr>
        <w:t xml:space="preserve"> </w:t>
      </w:r>
      <w:r w:rsidRPr="001F216F">
        <w:rPr>
          <w:rFonts w:ascii="Calibri" w:hAnsi="Calibri" w:cs="Calibri"/>
          <w:b w:val="0"/>
        </w:rPr>
        <w:t>Test Administrator’s Manual</w:t>
      </w:r>
      <w:r w:rsidRPr="008A005D">
        <w:rPr>
          <w:rFonts w:ascii="Calibri" w:hAnsi="Calibri" w:cs="Calibri"/>
          <w:b w:val="0"/>
          <w:bCs/>
        </w:rPr>
        <w:t>.</w:t>
      </w:r>
    </w:p>
    <w:p w14:paraId="5B19A8A8"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read verbatim (word</w:t>
      </w:r>
      <w:r>
        <w:rPr>
          <w:rFonts w:ascii="Calibri" w:hAnsi="Calibri" w:cs="Calibri"/>
          <w:b w:val="0"/>
          <w:bCs/>
        </w:rPr>
        <w:t>-</w:t>
      </w:r>
      <w:r w:rsidRPr="0041042D">
        <w:rPr>
          <w:rFonts w:ascii="Calibri" w:hAnsi="Calibri" w:cs="Calibri"/>
          <w:b w:val="0"/>
          <w:bCs/>
        </w:rPr>
        <w:t>for</w:t>
      </w:r>
      <w:r>
        <w:rPr>
          <w:rFonts w:ascii="Calibri" w:hAnsi="Calibri" w:cs="Calibri"/>
          <w:b w:val="0"/>
          <w:bCs/>
        </w:rPr>
        <w:t>-</w:t>
      </w:r>
      <w:r w:rsidRPr="0041042D">
        <w:rPr>
          <w:rFonts w:ascii="Calibri" w:hAnsi="Calibri" w:cs="Calibri"/>
          <w:b w:val="0"/>
          <w:bCs/>
        </w:rPr>
        <w:t xml:space="preserve">word) only </w:t>
      </w:r>
      <w:r>
        <w:rPr>
          <w:rFonts w:ascii="Calibri" w:hAnsi="Calibri" w:cs="Calibri"/>
          <w:b w:val="0"/>
          <w:bCs/>
        </w:rPr>
        <w:t xml:space="preserve">the text onscreen or in the test &amp; answer booklet </w:t>
      </w:r>
      <w:r w:rsidRPr="0041042D">
        <w:rPr>
          <w:rFonts w:ascii="Calibri" w:hAnsi="Calibri" w:cs="Calibri"/>
          <w:b w:val="0"/>
          <w:bCs/>
        </w:rPr>
        <w:t>without changing, emphasizing, or adding words. Readers may not clarify</w:t>
      </w:r>
      <w:r>
        <w:rPr>
          <w:rFonts w:ascii="Calibri" w:hAnsi="Calibri" w:cs="Calibri"/>
          <w:b w:val="0"/>
          <w:bCs/>
        </w:rPr>
        <w:t xml:space="preserve"> anything</w:t>
      </w:r>
      <w:r w:rsidRPr="0041042D">
        <w:rPr>
          <w:rFonts w:ascii="Calibri" w:hAnsi="Calibri" w:cs="Calibri"/>
          <w:b w:val="0"/>
          <w:bCs/>
        </w:rPr>
        <w:t xml:space="preserve"> (except for test directions), provide additional information, assist, or influence the student</w:t>
      </w:r>
      <w:r>
        <w:rPr>
          <w:rFonts w:ascii="Calibri" w:hAnsi="Calibri" w:cs="Calibri"/>
          <w:b w:val="0"/>
          <w:bCs/>
        </w:rPr>
        <w:t>’</w:t>
      </w:r>
      <w:r w:rsidRPr="0041042D">
        <w:rPr>
          <w:rFonts w:ascii="Calibri" w:hAnsi="Calibri" w:cs="Calibri"/>
          <w:b w:val="0"/>
          <w:bCs/>
        </w:rPr>
        <w:t>s selection of a response in any way.</w:t>
      </w:r>
    </w:p>
    <w:p w14:paraId="02680F53"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speak in a clear and consistent voice throughout the test administration, using correct pronunciation and without vocal inflections that may provide clues to, or mislead, a student. Readers shou</w:t>
      </w:r>
      <w:r w:rsidRPr="00197993">
        <w:rPr>
          <w:rFonts w:ascii="Calibri" w:hAnsi="Calibri" w:cs="Calibri"/>
          <w:b w:val="0"/>
          <w:bCs/>
        </w:rPr>
        <w:t>ld review the appropriate practice test</w:t>
      </w:r>
      <w:r w:rsidRPr="0041042D">
        <w:rPr>
          <w:rFonts w:ascii="Calibri" w:hAnsi="Calibri" w:cs="Calibri"/>
          <w:b w:val="0"/>
          <w:bCs/>
        </w:rPr>
        <w:t xml:space="preserve"> prior to the start of testing, </w:t>
      </w:r>
      <w:proofErr w:type="gramStart"/>
      <w:r w:rsidRPr="0041042D">
        <w:rPr>
          <w:rFonts w:ascii="Calibri" w:hAnsi="Calibri" w:cs="Calibri"/>
          <w:b w:val="0"/>
          <w:bCs/>
        </w:rPr>
        <w:t>in order to</w:t>
      </w:r>
      <w:proofErr w:type="gramEnd"/>
      <w:r w:rsidRPr="0041042D">
        <w:rPr>
          <w:rFonts w:ascii="Calibri" w:hAnsi="Calibri" w:cs="Calibri"/>
          <w:b w:val="0"/>
          <w:bCs/>
        </w:rPr>
        <w:t xml:space="preserve"> become familiar with the words, terms, symbols, signs, and/or graphics that will be read aloud to the student.</w:t>
      </w:r>
    </w:p>
    <w:p w14:paraId="6D2091E8"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should emphasize only the words printed in boldface, italics, or capital letters and inform the student that the words are printed that way. No other emphasis or vocal inflection is permitted.</w:t>
      </w:r>
    </w:p>
    <w:p w14:paraId="158A5850"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 xml:space="preserve">Readers may repeat passages, test </w:t>
      </w:r>
      <w:r>
        <w:rPr>
          <w:rFonts w:ascii="Calibri" w:hAnsi="Calibri" w:cs="Calibri"/>
          <w:b w:val="0"/>
          <w:bCs/>
        </w:rPr>
        <w:t>questions</w:t>
      </w:r>
      <w:r w:rsidRPr="0041042D">
        <w:rPr>
          <w:rFonts w:ascii="Calibri" w:hAnsi="Calibri" w:cs="Calibri"/>
          <w:b w:val="0"/>
          <w:bCs/>
        </w:rPr>
        <w:t xml:space="preserve">, and response options, as requested, according to the needs of the student. Readers should not rush through the test and should ask the student if they are ready to move to the next </w:t>
      </w:r>
      <w:r>
        <w:rPr>
          <w:rFonts w:ascii="Calibri" w:hAnsi="Calibri" w:cs="Calibri"/>
          <w:b w:val="0"/>
          <w:bCs/>
        </w:rPr>
        <w:t>question</w:t>
      </w:r>
      <w:r w:rsidRPr="0041042D">
        <w:rPr>
          <w:rFonts w:ascii="Calibri" w:hAnsi="Calibri" w:cs="Calibri"/>
          <w:b w:val="0"/>
          <w:bCs/>
        </w:rPr>
        <w:t>.</w:t>
      </w:r>
    </w:p>
    <w:p w14:paraId="776AB62C"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may not attempt to solve mathematics problems or determine the correct answer</w:t>
      </w:r>
      <w:r>
        <w:rPr>
          <w:rFonts w:ascii="Calibri" w:hAnsi="Calibri" w:cs="Calibri"/>
          <w:b w:val="0"/>
          <w:bCs/>
        </w:rPr>
        <w:t>s</w:t>
      </w:r>
      <w:r w:rsidRPr="0041042D">
        <w:rPr>
          <w:rFonts w:ascii="Calibri" w:hAnsi="Calibri" w:cs="Calibri"/>
          <w:b w:val="0"/>
          <w:bCs/>
        </w:rPr>
        <w:t xml:space="preserve"> to test </w:t>
      </w:r>
      <w:r>
        <w:rPr>
          <w:rFonts w:ascii="Calibri" w:hAnsi="Calibri" w:cs="Calibri"/>
          <w:b w:val="0"/>
          <w:bCs/>
        </w:rPr>
        <w:t>questions</w:t>
      </w:r>
      <w:r w:rsidRPr="0041042D">
        <w:rPr>
          <w:rFonts w:ascii="Calibri" w:hAnsi="Calibri" w:cs="Calibri"/>
          <w:b w:val="0"/>
          <w:bCs/>
        </w:rPr>
        <w:t xml:space="preserve"> while reading, as this may result in pauses or changes in inflection </w:t>
      </w:r>
      <w:r>
        <w:rPr>
          <w:rFonts w:ascii="Calibri" w:hAnsi="Calibri" w:cs="Calibri"/>
          <w:b w:val="0"/>
          <w:bCs/>
        </w:rPr>
        <w:t>that</w:t>
      </w:r>
      <w:r w:rsidRPr="0041042D">
        <w:rPr>
          <w:rFonts w:ascii="Calibri" w:hAnsi="Calibri" w:cs="Calibri"/>
          <w:b w:val="0"/>
          <w:bCs/>
        </w:rPr>
        <w:t xml:space="preserve"> </w:t>
      </w:r>
      <w:r>
        <w:rPr>
          <w:rFonts w:ascii="Calibri" w:hAnsi="Calibri" w:cs="Calibri"/>
          <w:b w:val="0"/>
          <w:bCs/>
        </w:rPr>
        <w:t>might</w:t>
      </w:r>
      <w:r w:rsidRPr="0041042D">
        <w:rPr>
          <w:rFonts w:ascii="Calibri" w:hAnsi="Calibri" w:cs="Calibri"/>
          <w:b w:val="0"/>
          <w:bCs/>
        </w:rPr>
        <w:t xml:space="preserve"> mislead the student.</w:t>
      </w:r>
    </w:p>
    <w:p w14:paraId="53DBB044"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attempt to maintain a neutral facial expression, neither smiling nor frowning during the test, which may be interpreted by the student as approval or disapproval of the student</w:t>
      </w:r>
      <w:r>
        <w:rPr>
          <w:rFonts w:ascii="Calibri" w:hAnsi="Calibri" w:cs="Calibri"/>
          <w:b w:val="0"/>
          <w:bCs/>
        </w:rPr>
        <w:t>’</w:t>
      </w:r>
      <w:r w:rsidRPr="0041042D">
        <w:rPr>
          <w:rFonts w:ascii="Calibri" w:hAnsi="Calibri" w:cs="Calibri"/>
          <w:b w:val="0"/>
          <w:bCs/>
        </w:rPr>
        <w:t>s answers.</w:t>
      </w:r>
    </w:p>
    <w:p w14:paraId="2E060B54"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be familiar with the student</w:t>
      </w:r>
      <w:r>
        <w:rPr>
          <w:rFonts w:ascii="Calibri" w:hAnsi="Calibri" w:cs="Calibri"/>
          <w:b w:val="0"/>
          <w:bCs/>
        </w:rPr>
        <w:t>’</w:t>
      </w:r>
      <w:r w:rsidRPr="0041042D">
        <w:rPr>
          <w:rFonts w:ascii="Calibri" w:hAnsi="Calibri" w:cs="Calibri"/>
          <w:b w:val="0"/>
          <w:bCs/>
        </w:rPr>
        <w:t>s IEP or 504 plan and should know in advance which accommodations are required by the student, and for which test</w:t>
      </w:r>
      <w:r>
        <w:rPr>
          <w:rFonts w:ascii="Calibri" w:hAnsi="Calibri" w:cs="Calibri"/>
          <w:b w:val="0"/>
          <w:bCs/>
        </w:rPr>
        <w:t>s</w:t>
      </w:r>
      <w:r w:rsidRPr="0041042D">
        <w:rPr>
          <w:rFonts w:ascii="Calibri" w:hAnsi="Calibri" w:cs="Calibri"/>
          <w:b w:val="0"/>
          <w:bCs/>
        </w:rPr>
        <w:t xml:space="preserve"> the student is designated to receive a Human Reader.</w:t>
      </w:r>
    </w:p>
    <w:p w14:paraId="38ED5B33" w14:textId="77777777" w:rsidR="009A605E" w:rsidRPr="00412491"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Readers must be aware of whether a student requires additional tools, devices, or adaptive equipment</w:t>
      </w:r>
      <w:r>
        <w:rPr>
          <w:rFonts w:ascii="Calibri" w:hAnsi="Calibri" w:cs="Calibri"/>
          <w:b w:val="0"/>
          <w:bCs/>
        </w:rPr>
        <w:t xml:space="preserve"> </w:t>
      </w:r>
      <w:r w:rsidRPr="0041042D">
        <w:rPr>
          <w:rFonts w:ascii="Calibri" w:hAnsi="Calibri" w:cs="Calibri"/>
          <w:b w:val="0"/>
          <w:bCs/>
        </w:rPr>
        <w:t xml:space="preserve">that has been approved for use during the test, such as a magnifier, closed circuit television (CCTV), abacus, </w:t>
      </w:r>
      <w:proofErr w:type="spellStart"/>
      <w:r w:rsidRPr="0041042D">
        <w:rPr>
          <w:rFonts w:ascii="Calibri" w:hAnsi="Calibri" w:cs="Calibri"/>
          <w:b w:val="0"/>
          <w:bCs/>
        </w:rPr>
        <w:t>brailler</w:t>
      </w:r>
      <w:proofErr w:type="spellEnd"/>
      <w:r w:rsidRPr="0041042D">
        <w:rPr>
          <w:rFonts w:ascii="Calibri" w:hAnsi="Calibri" w:cs="Calibri"/>
          <w:b w:val="0"/>
          <w:bCs/>
        </w:rPr>
        <w:t>, slate and stylus.</w:t>
      </w:r>
    </w:p>
    <w:p w14:paraId="04D08A86"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41042D">
        <w:rPr>
          <w:rFonts w:ascii="Calibri" w:hAnsi="Calibri" w:cs="Calibri"/>
          <w:b w:val="0"/>
          <w:bCs/>
        </w:rPr>
        <w:t>When reading a word that is pronounced like another word with a different spelling, the reader may spell the word after pronouncing it, if there is any doubt about which word is intended.</w:t>
      </w:r>
    </w:p>
    <w:p w14:paraId="4F5EE5BC"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Readers must spell any words requested by the student.</w:t>
      </w:r>
    </w:p>
    <w:p w14:paraId="06A039D6"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When reading passages, readers must be aware of punctuation marks. Readers may read the passage or selected lines a second time, with all punctuation marks indicated.</w:t>
      </w:r>
    </w:p>
    <w:p w14:paraId="4BD786BB"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When test </w:t>
      </w:r>
      <w:r>
        <w:rPr>
          <w:rFonts w:ascii="Calibri" w:hAnsi="Calibri" w:cs="Calibri"/>
          <w:b w:val="0"/>
          <w:bCs/>
        </w:rPr>
        <w:t>questions</w:t>
      </w:r>
      <w:r w:rsidRPr="00607B0A">
        <w:rPr>
          <w:rFonts w:ascii="Calibri" w:hAnsi="Calibri" w:cs="Calibri"/>
          <w:b w:val="0"/>
          <w:bCs/>
        </w:rPr>
        <w:t xml:space="preserve"> refer to a particular line or lines of a passage, </w:t>
      </w:r>
      <w:r>
        <w:rPr>
          <w:rFonts w:ascii="Calibri" w:hAnsi="Calibri" w:cs="Calibri"/>
          <w:b w:val="0"/>
          <w:bCs/>
        </w:rPr>
        <w:t xml:space="preserve">readers should </w:t>
      </w:r>
      <w:r w:rsidRPr="00607B0A">
        <w:rPr>
          <w:rFonts w:ascii="Calibri" w:hAnsi="Calibri" w:cs="Calibri"/>
          <w:b w:val="0"/>
          <w:bCs/>
        </w:rPr>
        <w:t xml:space="preserve">reread the lines before reading the </w:t>
      </w:r>
      <w:r w:rsidRPr="004E6638">
        <w:rPr>
          <w:rFonts w:ascii="Calibri" w:hAnsi="Calibri" w:cs="Calibri"/>
          <w:b w:val="0"/>
          <w:bCs/>
        </w:rPr>
        <w:t>question-and-answer</w:t>
      </w:r>
      <w:r w:rsidRPr="00607B0A">
        <w:rPr>
          <w:rFonts w:ascii="Calibri" w:hAnsi="Calibri" w:cs="Calibri"/>
          <w:b w:val="0"/>
          <w:bCs/>
        </w:rPr>
        <w:t xml:space="preserve"> choices. For example, the reader should say, “Question X refers to the following lines…,” then read the lines to the student, followed by </w:t>
      </w:r>
      <w:r>
        <w:rPr>
          <w:rFonts w:ascii="Calibri" w:hAnsi="Calibri" w:cs="Calibri"/>
          <w:b w:val="0"/>
          <w:bCs/>
        </w:rPr>
        <w:lastRenderedPageBreak/>
        <w:t>Q</w:t>
      </w:r>
      <w:r w:rsidRPr="00607B0A">
        <w:rPr>
          <w:rFonts w:ascii="Calibri" w:hAnsi="Calibri" w:cs="Calibri"/>
          <w:b w:val="0"/>
          <w:bCs/>
        </w:rPr>
        <w:t>uestion X and the response options.</w:t>
      </w:r>
    </w:p>
    <w:p w14:paraId="2658926C"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When reading selected response </w:t>
      </w:r>
      <w:r>
        <w:rPr>
          <w:rFonts w:ascii="Calibri" w:hAnsi="Calibri" w:cs="Calibri"/>
          <w:b w:val="0"/>
          <w:bCs/>
        </w:rPr>
        <w:t>questions</w:t>
      </w:r>
      <w:r w:rsidRPr="00607B0A">
        <w:rPr>
          <w:rFonts w:ascii="Calibri" w:hAnsi="Calibri" w:cs="Calibri"/>
          <w:b w:val="0"/>
          <w:bCs/>
        </w:rPr>
        <w:t>, readers must give equal stress to each response option and read all of them before waiting for a response.</w:t>
      </w:r>
    </w:p>
    <w:p w14:paraId="2EF5EE96"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If the student</w:t>
      </w:r>
      <w:r>
        <w:rPr>
          <w:rFonts w:ascii="Calibri" w:hAnsi="Calibri" w:cs="Calibri"/>
          <w:b w:val="0"/>
          <w:bCs/>
        </w:rPr>
        <w:t>’</w:t>
      </w:r>
      <w:r w:rsidRPr="00607B0A">
        <w:rPr>
          <w:rFonts w:ascii="Calibri" w:hAnsi="Calibri" w:cs="Calibri"/>
          <w:b w:val="0"/>
          <w:bCs/>
        </w:rPr>
        <w:t>s responses</w:t>
      </w:r>
      <w:r>
        <w:rPr>
          <w:rFonts w:ascii="Calibri" w:hAnsi="Calibri" w:cs="Calibri"/>
          <w:b w:val="0"/>
          <w:bCs/>
        </w:rPr>
        <w:t xml:space="preserve"> are also being scribed</w:t>
      </w:r>
      <w:r w:rsidRPr="00607B0A">
        <w:rPr>
          <w:rFonts w:ascii="Calibri" w:hAnsi="Calibri" w:cs="Calibri"/>
          <w:b w:val="0"/>
          <w:bCs/>
        </w:rPr>
        <w:t>, and the student designates a response choice by letter only (“D,” for example), the reader must ask the student if</w:t>
      </w:r>
      <w:r>
        <w:rPr>
          <w:rFonts w:ascii="Calibri" w:hAnsi="Calibri" w:cs="Calibri"/>
          <w:b w:val="0"/>
          <w:bCs/>
        </w:rPr>
        <w:t xml:space="preserve"> they</w:t>
      </w:r>
      <w:r w:rsidRPr="00607B0A">
        <w:rPr>
          <w:rFonts w:ascii="Calibri" w:hAnsi="Calibri" w:cs="Calibri"/>
          <w:b w:val="0"/>
          <w:bCs/>
        </w:rPr>
        <w:t xml:space="preserve"> would like the response to be reread before the answer is recorded in the answer booklet.</w:t>
      </w:r>
    </w:p>
    <w:p w14:paraId="2BCEB08F" w14:textId="77777777" w:rsidR="009A605E"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If the student chooses an answer before the reader has read all the answer choices, the </w:t>
      </w:r>
      <w:r>
        <w:rPr>
          <w:rFonts w:ascii="Calibri" w:hAnsi="Calibri" w:cs="Calibri"/>
          <w:b w:val="0"/>
          <w:bCs/>
        </w:rPr>
        <w:t>r</w:t>
      </w:r>
      <w:r w:rsidRPr="00607B0A">
        <w:rPr>
          <w:rFonts w:ascii="Calibri" w:hAnsi="Calibri" w:cs="Calibri"/>
          <w:b w:val="0"/>
          <w:bCs/>
        </w:rPr>
        <w:t>eader must ask if the student wants the other response options to be read.</w:t>
      </w:r>
    </w:p>
    <w:p w14:paraId="33581D0A" w14:textId="77777777" w:rsidR="009A605E" w:rsidRPr="00607B0A" w:rsidRDefault="009A605E" w:rsidP="009A605E">
      <w:pPr>
        <w:pStyle w:val="BodyText"/>
        <w:numPr>
          <w:ilvl w:val="0"/>
          <w:numId w:val="4"/>
        </w:numPr>
        <w:shd w:val="clear" w:color="auto" w:fill="FFFFFF" w:themeFill="background1"/>
        <w:spacing w:before="120" w:after="120" w:line="262" w:lineRule="auto"/>
        <w:ind w:right="115"/>
        <w:contextualSpacing/>
        <w:rPr>
          <w:rFonts w:ascii="Calibri" w:hAnsi="Calibri" w:cs="Calibri"/>
          <w:b w:val="0"/>
          <w:bCs/>
        </w:rPr>
      </w:pPr>
      <w:r w:rsidRPr="00607B0A">
        <w:rPr>
          <w:rFonts w:ascii="Calibri" w:hAnsi="Calibri" w:cs="Calibri"/>
          <w:b w:val="0"/>
          <w:bCs/>
        </w:rPr>
        <w:t xml:space="preserve">After the reader finishes reading a test </w:t>
      </w:r>
      <w:r>
        <w:rPr>
          <w:rFonts w:ascii="Calibri" w:hAnsi="Calibri" w:cs="Calibri"/>
          <w:b w:val="0"/>
          <w:bCs/>
        </w:rPr>
        <w:t>question</w:t>
      </w:r>
      <w:r w:rsidRPr="00607B0A">
        <w:rPr>
          <w:rFonts w:ascii="Calibri" w:hAnsi="Calibri" w:cs="Calibri"/>
          <w:b w:val="0"/>
          <w:bCs/>
        </w:rPr>
        <w:t xml:space="preserve"> and all response options, the reader must pause and allow the student to pause before responding. If the pause has been lengthy, say: “Do you want me to read the question or any part of it again?” </w:t>
      </w:r>
    </w:p>
    <w:p w14:paraId="565EE039" w14:textId="77777777" w:rsidR="009A605E" w:rsidRPr="00607B0A" w:rsidRDefault="009A605E" w:rsidP="009A605E">
      <w:pPr>
        <w:pStyle w:val="Heading2"/>
      </w:pPr>
      <w:bookmarkStart w:id="4" w:name="_Toc145076880"/>
      <w:r w:rsidRPr="00607B0A">
        <w:t>General Procedures</w:t>
      </w:r>
      <w:bookmarkEnd w:id="4"/>
    </w:p>
    <w:p w14:paraId="10CCD183" w14:textId="77777777" w:rsidR="009A605E" w:rsidRDefault="009A605E" w:rsidP="009A605E">
      <w:pPr>
        <w:pStyle w:val="BodyText"/>
        <w:numPr>
          <w:ilvl w:val="0"/>
          <w:numId w:val="3"/>
        </w:numPr>
        <w:shd w:val="clear" w:color="auto" w:fill="FFFFFF" w:themeFill="background1"/>
        <w:spacing w:before="120" w:after="120" w:line="261" w:lineRule="auto"/>
        <w:ind w:right="120"/>
        <w:contextualSpacing/>
        <w:rPr>
          <w:rFonts w:ascii="Calibri" w:hAnsi="Calibri" w:cs="Calibri"/>
          <w:b w:val="0"/>
          <w:bCs/>
        </w:rPr>
      </w:pPr>
      <w:r w:rsidRPr="00607B0A">
        <w:rPr>
          <w:rFonts w:ascii="Calibri" w:hAnsi="Calibri" w:cs="Calibri"/>
          <w:b w:val="0"/>
          <w:bCs/>
        </w:rPr>
        <w:t xml:space="preserve">Human </w:t>
      </w:r>
      <w:r>
        <w:rPr>
          <w:rFonts w:ascii="Calibri" w:hAnsi="Calibri" w:cs="Calibri"/>
          <w:b w:val="0"/>
          <w:bCs/>
        </w:rPr>
        <w:t>r</w:t>
      </w:r>
      <w:r w:rsidRPr="00607B0A">
        <w:rPr>
          <w:rFonts w:ascii="Calibri" w:hAnsi="Calibri" w:cs="Calibri"/>
          <w:b w:val="0"/>
          <w:bCs/>
        </w:rPr>
        <w:t xml:space="preserve">eaders may read the test aloud to </w:t>
      </w:r>
      <w:r>
        <w:rPr>
          <w:rFonts w:ascii="Calibri" w:hAnsi="Calibri" w:cs="Calibri"/>
          <w:b w:val="0"/>
          <w:bCs/>
        </w:rPr>
        <w:t xml:space="preserve">a </w:t>
      </w:r>
      <w:r w:rsidRPr="00607B0A">
        <w:rPr>
          <w:rFonts w:ascii="Calibri" w:hAnsi="Calibri" w:cs="Calibri"/>
          <w:b w:val="0"/>
          <w:bCs/>
        </w:rPr>
        <w:t>group of</w:t>
      </w:r>
      <w:r>
        <w:rPr>
          <w:rFonts w:ascii="Calibri" w:hAnsi="Calibri" w:cs="Calibri"/>
          <w:b w:val="0"/>
          <w:bCs/>
        </w:rPr>
        <w:t xml:space="preserve"> no more than 5</w:t>
      </w:r>
      <w:r w:rsidRPr="00607B0A">
        <w:rPr>
          <w:rFonts w:ascii="Calibri" w:hAnsi="Calibri" w:cs="Calibri"/>
          <w:b w:val="0"/>
          <w:bCs/>
        </w:rPr>
        <w:t xml:space="preserve"> students, provided that each student has the Human Reader accommodation/accessibility feature listed in an IEP, 504 plan</w:t>
      </w:r>
      <w:r>
        <w:rPr>
          <w:rFonts w:ascii="Calibri" w:hAnsi="Calibri" w:cs="Calibri"/>
          <w:b w:val="0"/>
          <w:bCs/>
        </w:rPr>
        <w:t>, or EL accommodation.</w:t>
      </w:r>
    </w:p>
    <w:p w14:paraId="1C8E4A29" w14:textId="77777777" w:rsidR="009A605E" w:rsidRPr="001A47A2" w:rsidRDefault="009A605E" w:rsidP="009A605E">
      <w:pPr>
        <w:pStyle w:val="BodyText"/>
        <w:numPr>
          <w:ilvl w:val="0"/>
          <w:numId w:val="3"/>
        </w:numPr>
        <w:shd w:val="clear" w:color="auto" w:fill="FFFFFF" w:themeFill="background1"/>
        <w:tabs>
          <w:tab w:val="left" w:pos="360"/>
        </w:tabs>
        <w:spacing w:before="120" w:after="120" w:line="262" w:lineRule="auto"/>
        <w:ind w:right="115"/>
        <w:contextualSpacing/>
        <w:rPr>
          <w:rFonts w:ascii="Calibri" w:hAnsi="Calibri" w:cs="Calibri"/>
          <w:b w:val="0"/>
          <w:bCs/>
        </w:rPr>
      </w:pPr>
      <w:r>
        <w:rPr>
          <w:rFonts w:ascii="Calibri" w:hAnsi="Calibri" w:cs="Calibri"/>
          <w:b w:val="0"/>
          <w:bCs/>
        </w:rPr>
        <w:t>Should students request not to have a human reader, they should continue to test without the accommodation. The human read-aloud accommodation should remain available until a revised IEP or 504 plan is developed</w:t>
      </w:r>
      <w:r w:rsidRPr="00607B0A">
        <w:rPr>
          <w:rFonts w:ascii="Calibri" w:hAnsi="Calibri" w:cs="Calibri"/>
          <w:b w:val="0"/>
          <w:bCs/>
        </w:rPr>
        <w:t>.</w:t>
      </w:r>
    </w:p>
    <w:p w14:paraId="19BFC9E2" w14:textId="77777777" w:rsidR="009A605E" w:rsidRPr="001A47A2" w:rsidRDefault="009A605E" w:rsidP="009A605E">
      <w:pPr>
        <w:pStyle w:val="BodyText"/>
        <w:numPr>
          <w:ilvl w:val="0"/>
          <w:numId w:val="3"/>
        </w:numPr>
        <w:shd w:val="clear" w:color="auto" w:fill="FFFFFF" w:themeFill="background1"/>
        <w:spacing w:before="120" w:after="120" w:line="261" w:lineRule="auto"/>
        <w:ind w:right="120"/>
        <w:contextualSpacing/>
        <w:rPr>
          <w:rFonts w:ascii="Calibri" w:hAnsi="Calibri" w:cs="Calibri"/>
          <w:b w:val="0"/>
          <w:bCs/>
        </w:rPr>
      </w:pPr>
      <w:r w:rsidRPr="30C32613">
        <w:rPr>
          <w:rFonts w:ascii="Calibri" w:hAnsi="Calibri" w:cs="Calibri"/>
          <w:b w:val="0"/>
        </w:rPr>
        <w:t>All students in the group must be taking the same test form, since test questions will differ on each form of the test.</w:t>
      </w:r>
    </w:p>
    <w:p w14:paraId="7056E58E" w14:textId="6199B6FB" w:rsidR="00D0114D" w:rsidRDefault="009A605E" w:rsidP="009A605E">
      <w:pPr>
        <w:pStyle w:val="BodyText"/>
        <w:shd w:val="clear" w:color="auto" w:fill="FFFFFF" w:themeFill="background1"/>
        <w:tabs>
          <w:tab w:val="left" w:pos="360"/>
        </w:tabs>
        <w:spacing w:before="120" w:after="120" w:line="261" w:lineRule="auto"/>
        <w:ind w:left="720" w:right="120" w:hanging="360"/>
        <w:contextualSpacing/>
        <w:rPr>
          <w:b w:val="0"/>
          <w:bCs/>
          <w:szCs w:val="24"/>
        </w:rPr>
      </w:pPr>
      <w:r w:rsidRPr="00607B0A">
        <w:rPr>
          <w:rFonts w:ascii="Calibri" w:hAnsi="Calibri" w:cs="Calibri"/>
          <w:b w:val="0"/>
          <w:bCs/>
        </w:rPr>
        <w:t>•</w:t>
      </w:r>
      <w:r w:rsidRPr="00607B0A">
        <w:rPr>
          <w:rFonts w:ascii="Calibri" w:hAnsi="Calibri" w:cs="Calibri"/>
          <w:b w:val="0"/>
          <w:bCs/>
        </w:rPr>
        <w:tab/>
      </w:r>
      <w:r>
        <w:rPr>
          <w:noProof/>
        </w:rPr>
        <w:drawing>
          <wp:inline distT="0" distB="0" distL="0" distR="0" wp14:anchorId="5B87F16D" wp14:editId="0945D4A4">
            <wp:extent cx="173736" cy="173736"/>
            <wp:effectExtent l="0" t="0" r="0" b="0"/>
            <wp:docPr id="54" name="Picture 5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Warning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3736" cy="173736"/>
                    </a:xfrm>
                    <a:prstGeom prst="rect">
                      <a:avLst/>
                    </a:prstGeom>
                  </pic:spPr>
                </pic:pic>
              </a:graphicData>
            </a:graphic>
          </wp:inline>
        </w:drawing>
      </w:r>
      <w:r>
        <w:rPr>
          <w:rFonts w:ascii="Calibri" w:hAnsi="Calibri" w:cs="Calibri"/>
          <w:b w:val="0"/>
          <w:bCs/>
        </w:rPr>
        <w:t xml:space="preserve"> </w:t>
      </w:r>
      <w:r w:rsidRPr="00111C7D">
        <w:rPr>
          <w:rFonts w:ascii="Calibri" w:hAnsi="Calibri" w:cs="Calibri"/>
          <w:b w:val="0"/>
          <w:szCs w:val="24"/>
        </w:rPr>
        <w:t xml:space="preserve">See Appendix A of the </w:t>
      </w:r>
      <w:hyperlink r:id="rId12" w:history="1">
        <w:r>
          <w:rPr>
            <w:rStyle w:val="Hyperlink"/>
          </w:rPr>
          <w:t>Guide to the SR/PNP Process</w:t>
        </w:r>
      </w:hyperlink>
      <w:r w:rsidRPr="00111C7D">
        <w:rPr>
          <w:rFonts w:ascii="Calibri" w:hAnsi="Calibri" w:cs="Calibri"/>
          <w:b w:val="0"/>
          <w:szCs w:val="24"/>
        </w:rPr>
        <w:t xml:space="preserve"> for important information about assigning this accommodation.</w:t>
      </w:r>
      <w:r w:rsidRPr="00691C2B">
        <w:rPr>
          <w:b w:val="0"/>
          <w:bCs/>
          <w:szCs w:val="24"/>
        </w:rPr>
        <w:t xml:space="preserve"> </w:t>
      </w:r>
    </w:p>
    <w:p w14:paraId="610D9A91" w14:textId="61EF8F48" w:rsidR="00363B51" w:rsidRPr="00363B51" w:rsidRDefault="00363B51" w:rsidP="00363B51"/>
    <w:p w14:paraId="3E58987F" w14:textId="67DF03B8" w:rsidR="00363B51" w:rsidRPr="00363B51" w:rsidRDefault="00363B51" w:rsidP="00363B51"/>
    <w:p w14:paraId="719EA3E6" w14:textId="6E02AAA2" w:rsidR="00363B51" w:rsidRPr="00363B51" w:rsidRDefault="00363B51" w:rsidP="00363B51"/>
    <w:p w14:paraId="77590142" w14:textId="2C923D49" w:rsidR="00363B51" w:rsidRDefault="00363B51" w:rsidP="00363B51">
      <w:pPr>
        <w:rPr>
          <w:rFonts w:ascii="Times" w:eastAsia="Times New Roman" w:hAnsi="Times" w:cs="Times New Roman"/>
          <w:bCs/>
          <w:szCs w:val="24"/>
        </w:rPr>
      </w:pPr>
    </w:p>
    <w:p w14:paraId="0145DA30" w14:textId="6FD00D8B" w:rsidR="00363B51" w:rsidRPr="00363B51" w:rsidRDefault="00363B51" w:rsidP="00363B51">
      <w:pPr>
        <w:tabs>
          <w:tab w:val="left" w:pos="3735"/>
        </w:tabs>
      </w:pPr>
      <w:r>
        <w:tab/>
      </w:r>
    </w:p>
    <w:sectPr w:rsidR="00363B51" w:rsidRPr="00363B5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D475" w14:textId="77777777" w:rsidR="00C40F34" w:rsidRDefault="00C40F34" w:rsidP="00363B51">
      <w:pPr>
        <w:spacing w:after="0"/>
      </w:pPr>
      <w:r>
        <w:separator/>
      </w:r>
    </w:p>
  </w:endnote>
  <w:endnote w:type="continuationSeparator" w:id="0">
    <w:p w14:paraId="0F087C72" w14:textId="77777777" w:rsidR="00C40F34" w:rsidRDefault="00C40F34" w:rsidP="00363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13243"/>
      <w:docPartObj>
        <w:docPartGallery w:val="Page Numbers (Bottom of Page)"/>
        <w:docPartUnique/>
      </w:docPartObj>
    </w:sdtPr>
    <w:sdtEndPr>
      <w:rPr>
        <w:noProof/>
      </w:rPr>
    </w:sdtEndPr>
    <w:sdtContent>
      <w:p w14:paraId="652A73C5" w14:textId="5E9B8F42" w:rsidR="00363B51" w:rsidRDefault="00363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7AA835" w14:textId="77777777" w:rsidR="00363B51" w:rsidRDefault="0036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69E2" w14:textId="77777777" w:rsidR="00C40F34" w:rsidRDefault="00C40F34" w:rsidP="00363B51">
      <w:pPr>
        <w:spacing w:after="0"/>
      </w:pPr>
      <w:r>
        <w:separator/>
      </w:r>
    </w:p>
  </w:footnote>
  <w:footnote w:type="continuationSeparator" w:id="0">
    <w:p w14:paraId="7405325A" w14:textId="77777777" w:rsidR="00C40F34" w:rsidRDefault="00C40F34" w:rsidP="00363B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F9"/>
    <w:multiLevelType w:val="multilevel"/>
    <w:tmpl w:val="24CC028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5256DAA"/>
    <w:multiLevelType w:val="hybridMultilevel"/>
    <w:tmpl w:val="4508C856"/>
    <w:lvl w:ilvl="0" w:tplc="540CE330">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1457A"/>
    <w:multiLevelType w:val="hybridMultilevel"/>
    <w:tmpl w:val="46EE7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95F02"/>
    <w:multiLevelType w:val="hybridMultilevel"/>
    <w:tmpl w:val="4CB04C5A"/>
    <w:lvl w:ilvl="0" w:tplc="83D40500">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1482">
    <w:abstractNumId w:val="3"/>
  </w:num>
  <w:num w:numId="2" w16cid:durableId="490298442">
    <w:abstractNumId w:val="0"/>
  </w:num>
  <w:num w:numId="3" w16cid:durableId="1339305793">
    <w:abstractNumId w:val="1"/>
  </w:num>
  <w:num w:numId="4" w16cid:durableId="476651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5E"/>
    <w:rsid w:val="00166B0B"/>
    <w:rsid w:val="00202D99"/>
    <w:rsid w:val="00363B51"/>
    <w:rsid w:val="00937307"/>
    <w:rsid w:val="009A605E"/>
    <w:rsid w:val="009E7A06"/>
    <w:rsid w:val="00A221FB"/>
    <w:rsid w:val="00A66498"/>
    <w:rsid w:val="00B74A11"/>
    <w:rsid w:val="00C40F34"/>
    <w:rsid w:val="00D0114D"/>
    <w:rsid w:val="00EF0C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6C096"/>
  <w15:chartTrackingRefBased/>
  <w15:docId w15:val="{F346FE8B-5897-4012-BAD5-AC076F8D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5E"/>
    <w:pPr>
      <w:spacing w:after="120" w:line="240" w:lineRule="auto"/>
    </w:pPr>
    <w:rPr>
      <w:rFonts w:ascii="Calibri" w:hAnsi="Calibri"/>
    </w:rPr>
  </w:style>
  <w:style w:type="paragraph" w:styleId="Heading1">
    <w:name w:val="heading 1"/>
    <w:basedOn w:val="Normal"/>
    <w:next w:val="Normal"/>
    <w:link w:val="Heading1Char"/>
    <w:uiPriority w:val="9"/>
    <w:qFormat/>
    <w:rsid w:val="009A605E"/>
    <w:pPr>
      <w:shd w:val="clear" w:color="auto" w:fill="FFFFFF" w:themeFill="background1"/>
      <w:tabs>
        <w:tab w:val="left" w:pos="540"/>
      </w:tabs>
      <w:ind w:left="720" w:hanging="720"/>
      <w:outlineLvl w:val="0"/>
    </w:pPr>
    <w:rPr>
      <w:rFonts w:cs="Calibri"/>
      <w:b/>
      <w:color w:val="4472C4" w:themeColor="accent1"/>
      <w:sz w:val="36"/>
      <w:szCs w:val="32"/>
    </w:rPr>
  </w:style>
  <w:style w:type="paragraph" w:styleId="Heading2">
    <w:name w:val="heading 2"/>
    <w:basedOn w:val="Normal"/>
    <w:next w:val="Normal"/>
    <w:link w:val="Heading2Char"/>
    <w:autoRedefine/>
    <w:unhideWhenUsed/>
    <w:qFormat/>
    <w:rsid w:val="00B74A11"/>
    <w:pPr>
      <w:keepNext/>
      <w:keepLines/>
      <w:numPr>
        <w:numId w:val="2"/>
      </w:numPr>
      <w:spacing w:before="200"/>
      <w:outlineLvl w:val="1"/>
    </w:pPr>
    <w:rPr>
      <w:rFonts w:asciiTheme="majorHAnsi" w:eastAsiaTheme="majorEastAsia" w:hAnsiTheme="majorHAnsi" w:cstheme="majorBidi"/>
      <w:b/>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A11"/>
    <w:rPr>
      <w:rFonts w:asciiTheme="majorHAnsi" w:eastAsiaTheme="majorEastAsia" w:hAnsiTheme="majorHAnsi" w:cstheme="majorBidi"/>
      <w:b/>
      <w:bCs/>
      <w:color w:val="4472C4" w:themeColor="accent1"/>
      <w:sz w:val="28"/>
      <w:szCs w:val="26"/>
    </w:rPr>
  </w:style>
  <w:style w:type="character" w:customStyle="1" w:styleId="Heading1Char">
    <w:name w:val="Heading 1 Char"/>
    <w:basedOn w:val="DefaultParagraphFont"/>
    <w:link w:val="Heading1"/>
    <w:uiPriority w:val="9"/>
    <w:rsid w:val="009A605E"/>
    <w:rPr>
      <w:rFonts w:ascii="Calibri" w:hAnsi="Calibri" w:cs="Calibri"/>
      <w:b/>
      <w:color w:val="4472C4" w:themeColor="accent1"/>
      <w:sz w:val="36"/>
      <w:szCs w:val="32"/>
      <w:shd w:val="clear" w:color="auto" w:fill="FFFFFF" w:themeFill="background1"/>
    </w:rPr>
  </w:style>
  <w:style w:type="character" w:styleId="Hyperlink">
    <w:name w:val="Hyperlink"/>
    <w:basedOn w:val="DefaultParagraphFont"/>
    <w:uiPriority w:val="99"/>
    <w:rsid w:val="009A605E"/>
    <w:rPr>
      <w:rFonts w:ascii="Calibri" w:hAnsi="Calibri" w:cs="Calibri"/>
      <w:color w:val="0000FF"/>
      <w:u w:val="single"/>
    </w:rPr>
  </w:style>
  <w:style w:type="paragraph" w:styleId="BodyText">
    <w:name w:val="Body Text"/>
    <w:basedOn w:val="Normal"/>
    <w:link w:val="BodyTextChar"/>
    <w:rsid w:val="009A60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pPr>
    <w:rPr>
      <w:rFonts w:ascii="Times" w:eastAsia="Times New Roman" w:hAnsi="Times" w:cs="Times New Roman"/>
      <w:b/>
      <w:szCs w:val="20"/>
    </w:rPr>
  </w:style>
  <w:style w:type="character" w:customStyle="1" w:styleId="BodyTextChar">
    <w:name w:val="Body Text Char"/>
    <w:basedOn w:val="DefaultParagraphFont"/>
    <w:link w:val="BodyText"/>
    <w:rsid w:val="009A605E"/>
    <w:rPr>
      <w:rFonts w:ascii="Times" w:eastAsia="Times New Roman" w:hAnsi="Times" w:cs="Times New Roman"/>
      <w:b/>
      <w:szCs w:val="20"/>
    </w:rPr>
  </w:style>
  <w:style w:type="paragraph" w:styleId="Header">
    <w:name w:val="header"/>
    <w:basedOn w:val="Normal"/>
    <w:link w:val="HeaderChar"/>
    <w:uiPriority w:val="99"/>
    <w:unhideWhenUsed/>
    <w:rsid w:val="00363B51"/>
    <w:pPr>
      <w:tabs>
        <w:tab w:val="center" w:pos="4680"/>
        <w:tab w:val="right" w:pos="9360"/>
      </w:tabs>
      <w:spacing w:after="0"/>
    </w:pPr>
  </w:style>
  <w:style w:type="character" w:customStyle="1" w:styleId="HeaderChar">
    <w:name w:val="Header Char"/>
    <w:basedOn w:val="DefaultParagraphFont"/>
    <w:link w:val="Header"/>
    <w:uiPriority w:val="99"/>
    <w:rsid w:val="00363B51"/>
    <w:rPr>
      <w:rFonts w:ascii="Calibri" w:hAnsi="Calibri"/>
    </w:rPr>
  </w:style>
  <w:style w:type="paragraph" w:styleId="Footer">
    <w:name w:val="footer"/>
    <w:basedOn w:val="Normal"/>
    <w:link w:val="FooterChar"/>
    <w:uiPriority w:val="99"/>
    <w:unhideWhenUsed/>
    <w:rsid w:val="00363B51"/>
    <w:pPr>
      <w:tabs>
        <w:tab w:val="center" w:pos="4680"/>
        <w:tab w:val="right" w:pos="9360"/>
      </w:tabs>
      <w:spacing w:after="0"/>
    </w:pPr>
  </w:style>
  <w:style w:type="character" w:customStyle="1" w:styleId="FooterChar">
    <w:name w:val="Footer Char"/>
    <w:basedOn w:val="DefaultParagraphFont"/>
    <w:link w:val="Footer"/>
    <w:uiPriority w:val="99"/>
    <w:rsid w:val="00363B5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cas.pearsonsupport.com/manu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7CC1DE71-C765-4CAE-9FCF-0DF19A3A3AB9}">
  <ds:schemaRefs>
    <ds:schemaRef ds:uri="http://schemas.microsoft.com/sharepoint/v3/contenttype/forms"/>
  </ds:schemaRefs>
</ds:datastoreItem>
</file>

<file path=customXml/itemProps2.xml><?xml version="1.0" encoding="utf-8"?>
<ds:datastoreItem xmlns:ds="http://schemas.openxmlformats.org/officeDocument/2006/customXml" ds:itemID="{476A90F0-88AE-42C6-9B4E-5DE85230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8AF9-559E-4B08-91F0-5B56C7BECBD0}">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Providing the Human Read-Aloud (Appendix C)</dc:title>
  <dc:subject/>
  <dc:creator>DESE</dc:creator>
  <cp:keywords/>
  <dc:description/>
  <cp:lastModifiedBy>Zou, Dong (EOE)</cp:lastModifiedBy>
  <cp:revision>5</cp:revision>
  <dcterms:created xsi:type="dcterms:W3CDTF">2023-10-10T18:20:00Z</dcterms:created>
  <dcterms:modified xsi:type="dcterms:W3CDTF">2023-10-12T17:10:00Z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