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9CFC" w14:textId="77777777" w:rsidR="00046B35" w:rsidRPr="009E5995" w:rsidRDefault="00046B35" w:rsidP="009E5995">
      <w:pPr>
        <w:pStyle w:val="Title"/>
        <w:rPr>
          <w:rStyle w:val="normaltextrun"/>
          <w:sz w:val="40"/>
          <w:szCs w:val="40"/>
        </w:rPr>
      </w:pPr>
      <w:r w:rsidRPr="009E5995">
        <w:rPr>
          <w:rStyle w:val="normaltextrun"/>
          <w:sz w:val="40"/>
          <w:szCs w:val="40"/>
        </w:rPr>
        <w:t>FY22 SOA Plan Amendment Review and Feedback Process</w:t>
      </w:r>
    </w:p>
    <w:p w14:paraId="2A29887F" w14:textId="1951187B" w:rsidR="009E5995" w:rsidRPr="009E5995" w:rsidRDefault="009E5995" w:rsidP="009E5995">
      <w:pPr>
        <w:pStyle w:val="Heading1"/>
        <w:rPr>
          <w:rStyle w:val="normaltextrun"/>
        </w:rPr>
      </w:pPr>
      <w:r w:rsidRPr="009E5995">
        <w:rPr>
          <w:rStyle w:val="normaltextrun"/>
        </w:rPr>
        <w:t>Overview</w:t>
      </w:r>
    </w:p>
    <w:p w14:paraId="1F171EC9" w14:textId="50E25834" w:rsidR="00046B35" w:rsidRDefault="00046B35" w:rsidP="001B6746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22222"/>
          <w:sz w:val="22"/>
          <w:szCs w:val="22"/>
        </w:rPr>
      </w:pPr>
      <w:r w:rsidRPr="00046B35">
        <w:rPr>
          <w:rStyle w:val="normaltextrun"/>
          <w:rFonts w:ascii="Segoe UI" w:eastAsiaTheme="majorEastAsia" w:hAnsi="Segoe UI" w:cs="Segoe UI"/>
          <w:sz w:val="22"/>
          <w:szCs w:val="22"/>
        </w:rPr>
        <w:t>Districts’</w:t>
      </w:r>
      <w:r w:rsidRPr="00046B35">
        <w:rPr>
          <w:rStyle w:val="normaltextrun"/>
          <w:rFonts w:ascii="Segoe UI" w:hAnsi="Segoe UI" w:cs="Segoe UI"/>
          <w:sz w:val="22"/>
          <w:szCs w:val="22"/>
        </w:rPr>
        <w:t xml:space="preserve"> plan amendments were reviewed against statutory requirements described in the 2019 Student Opportunity Act and against the guidelines DESE provided to districts for engaging in a meaningful plan development process and submitting a well-documented SOA plan.   </w:t>
      </w:r>
      <w:r w:rsidRPr="00046B35">
        <w:rPr>
          <w:rStyle w:val="eop"/>
          <w:rFonts w:ascii="Segoe UI" w:hAnsi="Segoe UI" w:cs="Segoe UI"/>
          <w:sz w:val="22"/>
          <w:szCs w:val="22"/>
        </w:rPr>
        <w:t> </w:t>
      </w:r>
      <w:r w:rsidRPr="00046B35">
        <w:rPr>
          <w:rFonts w:ascii="Segoe UI" w:hAnsi="Segoe UI" w:cs="Segoe UI"/>
          <w:color w:val="222222"/>
          <w:sz w:val="22"/>
          <w:szCs w:val="22"/>
        </w:rPr>
        <w:t>These recommendations and guidelines were designed to ensure that districts' SOA plans would effectively communicate to all of the Commonwealth's stakeholders </w:t>
      </w:r>
      <w:r w:rsidRPr="00046B35">
        <w:rPr>
          <w:rFonts w:ascii="Segoe UI" w:hAnsi="Segoe UI" w:cs="Segoe UI"/>
          <w:i/>
          <w:iCs/>
          <w:color w:val="222222"/>
          <w:sz w:val="22"/>
          <w:szCs w:val="22"/>
        </w:rPr>
        <w:t>(i.e., districts' and schools' local stakeholders, the state legislature, the broader education community, and the general public)</w:t>
      </w:r>
      <w:r w:rsidRPr="00046B35">
        <w:rPr>
          <w:rFonts w:ascii="Segoe UI" w:hAnsi="Segoe UI" w:cs="Segoe UI"/>
          <w:color w:val="222222"/>
          <w:sz w:val="22"/>
          <w:szCs w:val="22"/>
        </w:rPr>
        <w:t xml:space="preserve"> that we are making strong </w:t>
      </w:r>
      <w:r>
        <w:rPr>
          <w:rFonts w:ascii="Segoe UI" w:hAnsi="Segoe UI" w:cs="Segoe UI"/>
          <w:color w:val="222222"/>
          <w:sz w:val="22"/>
          <w:szCs w:val="22"/>
        </w:rPr>
        <w:t xml:space="preserve">collective </w:t>
      </w:r>
      <w:r w:rsidRPr="00046B35">
        <w:rPr>
          <w:rFonts w:ascii="Segoe UI" w:hAnsi="Segoe UI" w:cs="Segoe UI"/>
          <w:color w:val="222222"/>
          <w:sz w:val="22"/>
          <w:szCs w:val="22"/>
        </w:rPr>
        <w:t>efforts to close opportunity gaps for student groups</w:t>
      </w:r>
      <w:r>
        <w:rPr>
          <w:rFonts w:ascii="Segoe UI" w:hAnsi="Segoe UI" w:cs="Segoe UI"/>
          <w:color w:val="222222"/>
          <w:sz w:val="22"/>
          <w:szCs w:val="22"/>
        </w:rPr>
        <w:t>—particularly students with disabilities, English learners, students of color, and students from economically disadvantaged communities—and a</w:t>
      </w:r>
      <w:r w:rsidRPr="00046B35">
        <w:rPr>
          <w:rFonts w:ascii="Segoe UI" w:hAnsi="Segoe UI" w:cs="Segoe UI"/>
          <w:color w:val="222222"/>
          <w:sz w:val="22"/>
          <w:szCs w:val="22"/>
        </w:rPr>
        <w:t xml:space="preserve">re setting ourselves up </w:t>
      </w:r>
      <w:r>
        <w:rPr>
          <w:rFonts w:ascii="Segoe UI" w:hAnsi="Segoe UI" w:cs="Segoe UI"/>
          <w:color w:val="222222"/>
          <w:sz w:val="22"/>
          <w:szCs w:val="22"/>
        </w:rPr>
        <w:t xml:space="preserve">to </w:t>
      </w:r>
      <w:r w:rsidRPr="00046B35">
        <w:rPr>
          <w:rFonts w:ascii="Segoe UI" w:hAnsi="Segoe UI" w:cs="Segoe UI"/>
          <w:color w:val="222222"/>
          <w:sz w:val="22"/>
          <w:szCs w:val="22"/>
        </w:rPr>
        <w:t>successfully</w:t>
      </w:r>
      <w:r>
        <w:rPr>
          <w:rFonts w:ascii="Segoe UI" w:hAnsi="Segoe UI" w:cs="Segoe UI"/>
          <w:color w:val="222222"/>
          <w:sz w:val="22"/>
          <w:szCs w:val="22"/>
        </w:rPr>
        <w:t xml:space="preserve"> address them through the implementation of evidence-based programs and strategies</w:t>
      </w:r>
      <w:r w:rsidRPr="00046B35">
        <w:rPr>
          <w:rFonts w:ascii="Segoe UI" w:hAnsi="Segoe UI" w:cs="Segoe UI"/>
          <w:color w:val="222222"/>
          <w:sz w:val="22"/>
          <w:szCs w:val="22"/>
        </w:rPr>
        <w:t xml:space="preserve">. Please see </w:t>
      </w:r>
      <w:r>
        <w:rPr>
          <w:rFonts w:ascii="Segoe UI" w:hAnsi="Segoe UI" w:cs="Segoe UI"/>
          <w:color w:val="222222"/>
          <w:sz w:val="22"/>
          <w:szCs w:val="22"/>
        </w:rPr>
        <w:t xml:space="preserve">additional </w:t>
      </w:r>
      <w:r w:rsidRPr="00046B35">
        <w:rPr>
          <w:rFonts w:ascii="Segoe UI" w:hAnsi="Segoe UI" w:cs="Segoe UI"/>
          <w:color w:val="222222"/>
          <w:sz w:val="22"/>
          <w:szCs w:val="22"/>
        </w:rPr>
        <w:t>details</w:t>
      </w:r>
      <w:r>
        <w:rPr>
          <w:rFonts w:ascii="Segoe UI" w:hAnsi="Segoe UI" w:cs="Segoe UI"/>
          <w:color w:val="222222"/>
          <w:sz w:val="22"/>
          <w:szCs w:val="22"/>
        </w:rPr>
        <w:t xml:space="preserve"> below</w:t>
      </w:r>
      <w:r w:rsidRPr="00046B35">
        <w:rPr>
          <w:rFonts w:ascii="Segoe UI" w:hAnsi="Segoe UI" w:cs="Segoe UI"/>
          <w:color w:val="222222"/>
          <w:sz w:val="22"/>
          <w:szCs w:val="22"/>
        </w:rPr>
        <w:t>.</w:t>
      </w:r>
    </w:p>
    <w:p w14:paraId="47B52ED7" w14:textId="77777777" w:rsidR="009E5995" w:rsidRDefault="009E5995" w:rsidP="009E599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B0855D6">
        <w:rPr>
          <w:rStyle w:val="normaltextrun"/>
          <w:rFonts w:ascii="Calibri Light" w:hAnsi="Calibri Light" w:cs="Calibri Light"/>
          <w:color w:val="2F5496" w:themeColor="accent1" w:themeShade="BF"/>
          <w:sz w:val="32"/>
          <w:szCs w:val="32"/>
        </w:rPr>
        <w:t>The SOA Plan Amendment Review Criteria </w:t>
      </w:r>
      <w:r w:rsidRPr="0B0855D6">
        <w:rPr>
          <w:rStyle w:val="eop"/>
          <w:rFonts w:ascii="Calibri Light" w:eastAsiaTheme="majorEastAsia" w:hAnsi="Calibri Light" w:cs="Calibri Light"/>
          <w:color w:val="2F5496" w:themeColor="accent1" w:themeShade="BF"/>
        </w:rPr>
        <w:t> </w:t>
      </w:r>
    </w:p>
    <w:p w14:paraId="34F805D7" w14:textId="77777777" w:rsidR="00046B35" w:rsidRPr="00046B35" w:rsidRDefault="00046B35" w:rsidP="00046B35">
      <w:pPr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 xml:space="preserve">SOA plan amendments were reviewed on the following substantive plan elements: </w:t>
      </w:r>
    </w:p>
    <w:p w14:paraId="2A04CE6A" w14:textId="77777777" w:rsidR="00046B35" w:rsidRPr="00046B35" w:rsidRDefault="00046B35" w:rsidP="001B6746">
      <w:pPr>
        <w:spacing w:after="80" w:line="240" w:lineRule="auto"/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>1) Analysis of opportunity gaps and selection of student groups  </w:t>
      </w:r>
    </w:p>
    <w:p w14:paraId="156F9306" w14:textId="77777777" w:rsidR="00046B35" w:rsidRPr="00046B35" w:rsidRDefault="00046B35" w:rsidP="001B6746">
      <w:pPr>
        <w:spacing w:after="80" w:line="240" w:lineRule="auto"/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>2) Evidence-based program selection, implementation plan, and metrics for measuring progress   </w:t>
      </w:r>
    </w:p>
    <w:p w14:paraId="746810D6" w14:textId="77777777" w:rsidR="00046B35" w:rsidRPr="00046B35" w:rsidRDefault="00046B35" w:rsidP="001B6746">
      <w:pPr>
        <w:spacing w:after="80" w:line="240" w:lineRule="auto"/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>3) Budget</w:t>
      </w:r>
    </w:p>
    <w:p w14:paraId="575AE2C5" w14:textId="77777777" w:rsidR="00046B35" w:rsidRPr="00046B35" w:rsidRDefault="00046B35" w:rsidP="001B6746">
      <w:pPr>
        <w:spacing w:after="80" w:line="240" w:lineRule="auto"/>
        <w:rPr>
          <w:rFonts w:ascii="Segoe UI" w:hAnsi="Segoe UI" w:cs="Segoe UI"/>
          <w:i/>
          <w:iCs/>
        </w:rPr>
      </w:pPr>
      <w:r w:rsidRPr="00046B35">
        <w:rPr>
          <w:rFonts w:ascii="Segoe UI" w:hAnsi="Segoe UI" w:cs="Segoe UI"/>
        </w:rPr>
        <w:t xml:space="preserve">4) Family/caregiver engagement </w:t>
      </w:r>
      <w:r w:rsidRPr="00046B35">
        <w:rPr>
          <w:rFonts w:ascii="Segoe UI" w:hAnsi="Segoe UI" w:cs="Segoe UI"/>
          <w:i/>
          <w:iCs/>
        </w:rPr>
        <w:t>(i.e., the district’s overall approach to engaging families and caregivers)</w:t>
      </w:r>
    </w:p>
    <w:p w14:paraId="54BA7150" w14:textId="77777777" w:rsidR="00046B35" w:rsidRPr="00046B35" w:rsidRDefault="00046B35" w:rsidP="001B6746">
      <w:pPr>
        <w:spacing w:after="80" w:line="240" w:lineRule="auto"/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>5) Stakeholder engagement, input, and opportunities to provide feedback in SOA plan development and implementation.</w:t>
      </w:r>
    </w:p>
    <w:p w14:paraId="0F99EA6C" w14:textId="77777777" w:rsidR="00046B35" w:rsidRDefault="00046B35" w:rsidP="00046B35">
      <w:pPr>
        <w:pStyle w:val="Heading2"/>
      </w:pPr>
    </w:p>
    <w:p w14:paraId="1EC2FB57" w14:textId="77777777" w:rsidR="00046B35" w:rsidRPr="00046B35" w:rsidRDefault="00046B35" w:rsidP="00046B35">
      <w:pPr>
        <w:rPr>
          <w:rFonts w:ascii="Segoe UI" w:hAnsi="Segoe UI" w:cs="Segoe UI"/>
        </w:rPr>
      </w:pPr>
      <w:r w:rsidRPr="00046B35">
        <w:rPr>
          <w:rFonts w:ascii="Segoe UI" w:hAnsi="Segoe UI" w:cs="Segoe UI"/>
        </w:rPr>
        <w:t>For each plan element described above, districts receive feedback about whether it:  </w:t>
      </w:r>
    </w:p>
    <w:p w14:paraId="393104BC" w14:textId="77777777" w:rsidR="00046B35" w:rsidRDefault="00046B35" w:rsidP="0004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288F68C1" w14:textId="77777777" w:rsidR="00046B35" w:rsidRDefault="00046B35" w:rsidP="00046B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538135"/>
          <w:sz w:val="22"/>
          <w:szCs w:val="22"/>
        </w:rPr>
        <w:t xml:space="preserve">Meets SOA statutory requirements for this element of the plan and reflects DESE's recommendations for a well-developed. </w:t>
      </w:r>
      <w:r>
        <w:rPr>
          <w:rStyle w:val="normaltextrun"/>
          <w:rFonts w:ascii="Calibri" w:hAnsi="Calibri" w:cs="Calibri"/>
          <w:i/>
          <w:iCs/>
          <w:color w:val="538135"/>
          <w:sz w:val="22"/>
          <w:szCs w:val="22"/>
        </w:rPr>
        <w:t>No further action is required.</w:t>
      </w:r>
      <w:r>
        <w:rPr>
          <w:rStyle w:val="normaltextrun"/>
          <w:rFonts w:ascii="Calibri" w:hAnsi="Calibri" w:cs="Calibri"/>
          <w:color w:val="538135"/>
          <w:sz w:val="22"/>
          <w:szCs w:val="22"/>
        </w:rPr>
        <w:t> </w:t>
      </w:r>
      <w:r>
        <w:rPr>
          <w:rStyle w:val="eop"/>
          <w:rFonts w:ascii="Calibri" w:hAnsi="Calibri" w:cs="Calibri"/>
          <w:color w:val="538135"/>
          <w:sz w:val="22"/>
          <w:szCs w:val="22"/>
        </w:rPr>
        <w:t> </w:t>
      </w:r>
    </w:p>
    <w:p w14:paraId="20B28064" w14:textId="77777777" w:rsidR="00046B35" w:rsidRDefault="00046B35" w:rsidP="00046B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Meets SOA statutory requirement for this element of the plan. The feedback offers recommendations for strengthening this </w:t>
      </w:r>
      <w:r>
        <w:rPr>
          <w:rStyle w:val="contextualspellingandgrammarerror"/>
          <w:rFonts w:ascii="Calibri" w:hAnsi="Calibri" w:cs="Calibri"/>
          <w:color w:val="0070C0"/>
          <w:sz w:val="22"/>
          <w:szCs w:val="22"/>
        </w:rPr>
        <w:t>element .</w:t>
      </w:r>
      <w:r>
        <w:rPr>
          <w:rStyle w:val="normaltextrun"/>
          <w:rFonts w:ascii="Calibri" w:hAnsi="Calibri" w:cs="Calibri"/>
          <w:color w:val="0070C0"/>
          <w:sz w:val="22"/>
          <w:szCs w:val="22"/>
        </w:rPr>
        <w:t xml:space="preserve">  </w:t>
      </w:r>
      <w:r>
        <w:rPr>
          <w:rStyle w:val="normaltextrun"/>
          <w:rFonts w:ascii="Calibri" w:hAnsi="Calibri" w:cs="Calibri"/>
          <w:i/>
          <w:iCs/>
          <w:color w:val="0070C0"/>
          <w:sz w:val="22"/>
          <w:szCs w:val="22"/>
        </w:rPr>
        <w:t>Districts have the option of addressing recommendations, but they are not required to do so</w:t>
      </w:r>
      <w:r>
        <w:rPr>
          <w:rStyle w:val="normaltextrun"/>
          <w:rFonts w:ascii="Calibri" w:hAnsi="Calibri" w:cs="Calibri"/>
          <w:i/>
          <w:iCs/>
          <w:color w:val="9C57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9C57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9C5700"/>
          <w:sz w:val="22"/>
          <w:szCs w:val="22"/>
        </w:rPr>
        <w:t> </w:t>
      </w:r>
    </w:p>
    <w:p w14:paraId="7AF452B8" w14:textId="5B7E8437" w:rsidR="00046B35" w:rsidRPr="00600340" w:rsidRDefault="00046B35" w:rsidP="00046B3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Verdana" w:hAnsi="Verdana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9C0006"/>
          <w:sz w:val="22"/>
          <w:szCs w:val="22"/>
        </w:rPr>
        <w:t xml:space="preserve">Does not meet SOA statutory requirements for this element of the plan.  </w:t>
      </w:r>
      <w:r>
        <w:rPr>
          <w:rStyle w:val="normaltextrun"/>
          <w:rFonts w:ascii="Calibri" w:hAnsi="Calibri" w:cs="Calibri"/>
          <w:i/>
          <w:iCs/>
          <w:color w:val="9C0006"/>
          <w:sz w:val="22"/>
          <w:szCs w:val="22"/>
        </w:rPr>
        <w:t>The feedback detail will indicate what steps the district needs to take to meet statutory requirements.</w:t>
      </w:r>
      <w:r>
        <w:rPr>
          <w:rStyle w:val="normaltextrun"/>
          <w:rFonts w:ascii="Calibri" w:hAnsi="Calibri" w:cs="Calibri"/>
          <w:color w:val="9C0006"/>
          <w:sz w:val="22"/>
          <w:szCs w:val="22"/>
        </w:rPr>
        <w:t> </w:t>
      </w:r>
      <w:r>
        <w:rPr>
          <w:rStyle w:val="eop"/>
          <w:rFonts w:ascii="Calibri" w:hAnsi="Calibri" w:cs="Calibri"/>
          <w:color w:val="9C0006"/>
          <w:sz w:val="22"/>
          <w:szCs w:val="22"/>
        </w:rPr>
        <w:t> </w:t>
      </w:r>
    </w:p>
    <w:p w14:paraId="1FA3126A" w14:textId="77777777" w:rsidR="00600340" w:rsidRDefault="00600340" w:rsidP="00600340">
      <w:pPr>
        <w:pStyle w:val="paragraph"/>
        <w:spacing w:before="0" w:beforeAutospacing="0" w:after="0" w:afterAutospacing="0"/>
        <w:ind w:left="720"/>
        <w:textAlignment w:val="baseline"/>
        <w:rPr>
          <w:rFonts w:ascii="Verdana" w:hAnsi="Verdana" w:cs="Segoe UI"/>
          <w:sz w:val="22"/>
          <w:szCs w:val="22"/>
        </w:rPr>
      </w:pPr>
    </w:p>
    <w:p w14:paraId="60754522" w14:textId="77777777" w:rsidR="00600340" w:rsidRDefault="00600340">
      <w:pPr>
        <w:rPr>
          <w:rStyle w:val="eop"/>
          <w:rFonts w:ascii="Calibri" w:eastAsiaTheme="majorEastAsia" w:hAnsi="Calibri" w:cs="Calibri"/>
          <w:color w:val="2F5496" w:themeColor="accent1" w:themeShade="BF"/>
        </w:rPr>
      </w:pPr>
      <w:r>
        <w:rPr>
          <w:rStyle w:val="eop"/>
          <w:rFonts w:ascii="Calibri" w:hAnsi="Calibri" w:cs="Calibri"/>
        </w:rPr>
        <w:br w:type="page"/>
      </w:r>
    </w:p>
    <w:p w14:paraId="55000DD3" w14:textId="4E063D94" w:rsidR="00600340" w:rsidRDefault="00046B35" w:rsidP="00600340">
      <w:pPr>
        <w:pStyle w:val="Heading1"/>
      </w:pPr>
      <w:r>
        <w:rPr>
          <w:rStyle w:val="eop"/>
          <w:rFonts w:ascii="Calibri" w:hAnsi="Calibri" w:cs="Calibri"/>
          <w:sz w:val="22"/>
          <w:szCs w:val="22"/>
        </w:rPr>
        <w:lastRenderedPageBreak/>
        <w:t> </w:t>
      </w:r>
      <w:r w:rsidR="00600340">
        <w:t>Timeline</w:t>
      </w:r>
    </w:p>
    <w:p w14:paraId="7E1F3097" w14:textId="7F419B1B" w:rsidR="00600340" w:rsidRDefault="00600340" w:rsidP="00600340">
      <w:pPr>
        <w:pStyle w:val="ListParagraph"/>
        <w:numPr>
          <w:ilvl w:val="0"/>
          <w:numId w:val="2"/>
        </w:numPr>
        <w:rPr>
          <w:b/>
          <w:bCs/>
          <w:color w:val="212529"/>
          <w:sz w:val="24"/>
          <w:szCs w:val="24"/>
        </w:rPr>
      </w:pP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>Week of May 23:</w:t>
      </w:r>
      <w:r w:rsidRPr="11D28157"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12529"/>
          <w:sz w:val="24"/>
          <w:szCs w:val="24"/>
        </w:rPr>
        <w:t xml:space="preserve"> </w:t>
      </w:r>
      <w:r w:rsidRPr="11D28157">
        <w:rPr>
          <w:rFonts w:ascii="Calibri" w:eastAsia="Calibri" w:hAnsi="Calibri" w:cs="Calibri"/>
          <w:color w:val="212529"/>
          <w:sz w:val="24"/>
          <w:szCs w:val="24"/>
        </w:rPr>
        <w:t>Districts receive feedback on their FY22 SOA Plan Amendments</w:t>
      </w:r>
    </w:p>
    <w:p w14:paraId="0D980200" w14:textId="77777777" w:rsidR="00600340" w:rsidRDefault="00600340" w:rsidP="00600340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12529"/>
          <w:sz w:val="24"/>
          <w:szCs w:val="24"/>
        </w:rPr>
      </w:pP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 xml:space="preserve">May 23-June 24: </w:t>
      </w:r>
      <w:r w:rsidRPr="11D28157">
        <w:rPr>
          <w:rFonts w:ascii="Calibri" w:eastAsia="Calibri" w:hAnsi="Calibri" w:cs="Calibri"/>
          <w:color w:val="212529"/>
          <w:sz w:val="24"/>
          <w:szCs w:val="24"/>
        </w:rPr>
        <w:t xml:space="preserve"> SOA Office Hours. </w:t>
      </w:r>
      <w:hyperlink r:id="rId5">
        <w:r w:rsidRPr="11D28157">
          <w:rPr>
            <w:rStyle w:val="Hyperlink"/>
            <w:rFonts w:ascii="Calibri" w:eastAsia="Calibri" w:hAnsi="Calibri" w:cs="Calibri"/>
            <w:sz w:val="24"/>
            <w:szCs w:val="24"/>
          </w:rPr>
          <w:t xml:space="preserve">Schedule a </w:t>
        </w:r>
        <w:r>
          <w:rPr>
            <w:rStyle w:val="Hyperlink"/>
            <w:rFonts w:ascii="Calibri" w:eastAsia="Calibri" w:hAnsi="Calibri" w:cs="Calibri"/>
            <w:sz w:val="24"/>
            <w:szCs w:val="24"/>
          </w:rPr>
          <w:t xml:space="preserve">20-30 minute </w:t>
        </w:r>
        <w:r w:rsidRPr="11D28157">
          <w:rPr>
            <w:rStyle w:val="Hyperlink"/>
            <w:rFonts w:ascii="Calibri" w:eastAsia="Calibri" w:hAnsi="Calibri" w:cs="Calibri"/>
            <w:sz w:val="24"/>
            <w:szCs w:val="24"/>
          </w:rPr>
          <w:t>consultation</w:t>
        </w:r>
      </w:hyperlink>
      <w:r w:rsidRPr="11D28157">
        <w:rPr>
          <w:rFonts w:ascii="Calibri" w:eastAsia="Calibri" w:hAnsi="Calibri" w:cs="Calibri"/>
          <w:color w:val="212529"/>
          <w:sz w:val="24"/>
          <w:szCs w:val="24"/>
        </w:rPr>
        <w:t xml:space="preserve"> with one of our SOA team members. Districts can also reach us by email at any time at </w:t>
      </w:r>
      <w:hyperlink r:id="rId6">
        <w:r w:rsidRPr="11D28157">
          <w:rPr>
            <w:rStyle w:val="Hyperlink"/>
            <w:rFonts w:ascii="Calibri" w:eastAsia="Calibri" w:hAnsi="Calibri" w:cs="Calibri"/>
            <w:sz w:val="24"/>
            <w:szCs w:val="24"/>
          </w:rPr>
          <w:t xml:space="preserve">SOAPlans@mass.gov </w:t>
        </w:r>
      </w:hyperlink>
      <w:r w:rsidRPr="11D28157">
        <w:rPr>
          <w:rFonts w:ascii="Calibri" w:eastAsia="Calibri" w:hAnsi="Calibri" w:cs="Calibri"/>
          <w:color w:val="212529"/>
          <w:sz w:val="24"/>
          <w:szCs w:val="24"/>
        </w:rPr>
        <w:t>.</w:t>
      </w:r>
    </w:p>
    <w:p w14:paraId="1B917845" w14:textId="6762A6D6" w:rsidR="00600340" w:rsidRDefault="00600340" w:rsidP="00600340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12529"/>
          <w:sz w:val="24"/>
          <w:szCs w:val="24"/>
        </w:rPr>
      </w:pP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 xml:space="preserve">Friday June </w:t>
      </w:r>
      <w:r w:rsidR="0024755A">
        <w:rPr>
          <w:rFonts w:ascii="Calibri" w:eastAsia="Calibri" w:hAnsi="Calibri" w:cs="Calibri"/>
          <w:b/>
          <w:bCs/>
          <w:color w:val="212529"/>
          <w:sz w:val="24"/>
          <w:szCs w:val="24"/>
        </w:rPr>
        <w:t>30</w:t>
      </w: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>:</w:t>
      </w:r>
      <w:r w:rsidRPr="11D28157">
        <w:rPr>
          <w:rFonts w:ascii="Calibri" w:eastAsia="Calibri" w:hAnsi="Calibri" w:cs="Calibri"/>
          <w:color w:val="212529"/>
          <w:sz w:val="24"/>
          <w:szCs w:val="24"/>
        </w:rPr>
        <w:t xml:space="preserve"> Due date for submission of required and optional changes to SOA plan amendments</w:t>
      </w:r>
    </w:p>
    <w:p w14:paraId="36BFA05F" w14:textId="6B141538" w:rsidR="00600340" w:rsidRPr="0048153A" w:rsidRDefault="00600340" w:rsidP="00600340">
      <w:pPr>
        <w:pStyle w:val="ListParagraph"/>
        <w:numPr>
          <w:ilvl w:val="0"/>
          <w:numId w:val="2"/>
        </w:numPr>
        <w:rPr>
          <w:rFonts w:eastAsiaTheme="minorEastAsia"/>
          <w:b/>
          <w:bCs/>
          <w:color w:val="212529"/>
          <w:sz w:val="24"/>
          <w:szCs w:val="24"/>
        </w:rPr>
      </w:pP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 xml:space="preserve">On or before July </w:t>
      </w:r>
      <w:r w:rsidR="0024755A">
        <w:rPr>
          <w:rFonts w:ascii="Calibri" w:eastAsia="Calibri" w:hAnsi="Calibri" w:cs="Calibri"/>
          <w:b/>
          <w:bCs/>
          <w:color w:val="212529"/>
          <w:sz w:val="24"/>
          <w:szCs w:val="24"/>
        </w:rPr>
        <w:t>15</w:t>
      </w:r>
      <w:r w:rsidRPr="11D28157">
        <w:rPr>
          <w:rFonts w:ascii="Calibri" w:eastAsia="Calibri" w:hAnsi="Calibri" w:cs="Calibri"/>
          <w:b/>
          <w:bCs/>
          <w:color w:val="212529"/>
          <w:sz w:val="24"/>
          <w:szCs w:val="24"/>
        </w:rPr>
        <w:t>:</w:t>
      </w:r>
      <w:r w:rsidRPr="11D28157">
        <w:rPr>
          <w:rFonts w:ascii="Calibri" w:eastAsia="Calibri" w:hAnsi="Calibri" w:cs="Calibri"/>
          <w:color w:val="212529"/>
          <w:sz w:val="24"/>
          <w:szCs w:val="24"/>
        </w:rPr>
        <w:t xml:space="preserve"> Plans are posted publicly on DESE's SOA Website</w:t>
      </w:r>
    </w:p>
    <w:p w14:paraId="0A16473F" w14:textId="707823EA" w:rsidR="00046B35" w:rsidRDefault="00046B35" w:rsidP="00046B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04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F15A0"/>
    <w:multiLevelType w:val="hybridMultilevel"/>
    <w:tmpl w:val="A6CA0446"/>
    <w:lvl w:ilvl="0" w:tplc="55342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F00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80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6B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88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2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A8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D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A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F00B3"/>
    <w:multiLevelType w:val="multilevel"/>
    <w:tmpl w:val="22AEE0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35"/>
    <w:rsid w:val="00046B35"/>
    <w:rsid w:val="001B6746"/>
    <w:rsid w:val="0024755A"/>
    <w:rsid w:val="00276275"/>
    <w:rsid w:val="00386225"/>
    <w:rsid w:val="00600340"/>
    <w:rsid w:val="00845AED"/>
    <w:rsid w:val="009E5995"/>
    <w:rsid w:val="00B31635"/>
    <w:rsid w:val="00BC2901"/>
    <w:rsid w:val="00EF283E"/>
    <w:rsid w:val="00F2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BAFB"/>
  <w15:chartTrackingRefBased/>
  <w15:docId w15:val="{414E4F62-5EBB-459E-95ED-77922E0D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35"/>
  </w:style>
  <w:style w:type="paragraph" w:styleId="Heading1">
    <w:name w:val="heading 1"/>
    <w:basedOn w:val="Normal"/>
    <w:next w:val="Normal"/>
    <w:link w:val="Heading1Char"/>
    <w:uiPriority w:val="9"/>
    <w:qFormat/>
    <w:rsid w:val="00046B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04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46B35"/>
  </w:style>
  <w:style w:type="character" w:customStyle="1" w:styleId="eop">
    <w:name w:val="eop"/>
    <w:basedOn w:val="DefaultParagraphFont"/>
    <w:rsid w:val="00046B35"/>
  </w:style>
  <w:style w:type="character" w:customStyle="1" w:styleId="contextualspellingandgrammarerror">
    <w:name w:val="contextualspellingandgrammarerror"/>
    <w:basedOn w:val="DefaultParagraphFont"/>
    <w:rsid w:val="00046B35"/>
  </w:style>
  <w:style w:type="character" w:customStyle="1" w:styleId="Heading1Char">
    <w:name w:val="Heading 1 Char"/>
    <w:basedOn w:val="DefaultParagraphFont"/>
    <w:link w:val="Heading1"/>
    <w:uiPriority w:val="9"/>
    <w:rsid w:val="00046B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E59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0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APlans@mass.gov" TargetMode="External"/><Relationship Id="rId5" Type="http://schemas.openxmlformats.org/officeDocument/2006/relationships/hyperlink" Target="https://koalendar.com/e/soa-consult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 22 SOA Review and Feedback Detail Revised 5/23/22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FY22 SOA Review and Feedback Detail Revised 5/23/2022</dc:title>
  <dc:subject/>
  <dc:creator>DESE</dc:creator>
  <cp:keywords/>
  <dc:description/>
  <cp:lastModifiedBy>Zou, Dong (EOE)</cp:lastModifiedBy>
  <cp:revision>3</cp:revision>
  <dcterms:created xsi:type="dcterms:W3CDTF">2022-06-03T15:13:00Z</dcterms:created>
  <dcterms:modified xsi:type="dcterms:W3CDTF">2022-06-10T14:30:00Z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10 2022</vt:lpwstr>
  </property>
</Properties>
</file>