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698E" w14:textId="6C518C8D" w:rsidR="00F522EF" w:rsidRPr="00DE1370" w:rsidRDefault="00DE1370" w:rsidP="00DE1370">
      <w:pPr>
        <w:pStyle w:val="WLHeading1"/>
        <w:jc w:val="center"/>
      </w:pPr>
      <w:r w:rsidRPr="00DE1370">
        <w:t>10 Practices for Students at All Levels</w:t>
      </w:r>
      <w:r w:rsidR="00CE2AA2">
        <w:t xml:space="preserve"> </w:t>
      </w:r>
      <w:r w:rsidR="00771EFA">
        <w:t>of World Language Instruction</w:t>
      </w:r>
    </w:p>
    <w:p w14:paraId="4300E60F" w14:textId="3B5A53FC" w:rsidR="00DE1370" w:rsidRPr="00DE1370" w:rsidRDefault="00DE1370" w:rsidP="00DE1370">
      <w:pPr>
        <w:jc w:val="center"/>
        <w:rPr>
          <w:color w:val="0C7580"/>
          <w:sz w:val="32"/>
          <w:szCs w:val="32"/>
        </w:rPr>
      </w:pPr>
      <w:r w:rsidRPr="00DE1370">
        <w:rPr>
          <w:color w:val="0C7580"/>
          <w:sz w:val="32"/>
          <w:szCs w:val="32"/>
        </w:rPr>
        <w:t>(Adapted from Standards for World Language Practice)</w:t>
      </w:r>
    </w:p>
    <w:tbl>
      <w:tblPr>
        <w:tblStyle w:val="TableGrid"/>
        <w:tblW w:w="145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1873"/>
        <w:gridCol w:w="10677"/>
      </w:tblGrid>
      <w:tr w:rsidR="00DE1370" w14:paraId="28599908" w14:textId="77777777" w:rsidTr="00C826E3">
        <w:tc>
          <w:tcPr>
            <w:tcW w:w="2025" w:type="dxa"/>
            <w:vMerge w:val="restart"/>
            <w:shd w:val="clear" w:color="auto" w:fill="E8BFBE"/>
          </w:tcPr>
          <w:p w14:paraId="35EC1DEA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Communication</w:t>
            </w:r>
          </w:p>
        </w:tc>
        <w:tc>
          <w:tcPr>
            <w:tcW w:w="1840" w:type="dxa"/>
            <w:shd w:val="clear" w:color="auto" w:fill="E8BFBE"/>
          </w:tcPr>
          <w:p w14:paraId="3E446A68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Interpretive</w:t>
            </w:r>
          </w:p>
        </w:tc>
        <w:tc>
          <w:tcPr>
            <w:tcW w:w="10710" w:type="dxa"/>
            <w:shd w:val="clear" w:color="auto" w:fill="E8BFBE"/>
          </w:tcPr>
          <w:p w14:paraId="61B2EDCC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>1. Interpretive Communication: Students understand, interpret, and analyze what is heard, read, or viewed on a variety of topics.</w:t>
            </w:r>
          </w:p>
        </w:tc>
      </w:tr>
      <w:tr w:rsidR="00DE1370" w14:paraId="662914F9" w14:textId="77777777" w:rsidTr="00C826E3">
        <w:tc>
          <w:tcPr>
            <w:tcW w:w="2025" w:type="dxa"/>
            <w:vMerge/>
            <w:shd w:val="clear" w:color="auto" w:fill="E8BFBE"/>
          </w:tcPr>
          <w:p w14:paraId="10508D4B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E8BFBE"/>
          </w:tcPr>
          <w:p w14:paraId="7D49315C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Interpersonal</w:t>
            </w:r>
          </w:p>
        </w:tc>
        <w:tc>
          <w:tcPr>
            <w:tcW w:w="10710" w:type="dxa"/>
            <w:shd w:val="clear" w:color="auto" w:fill="E8BFBE"/>
          </w:tcPr>
          <w:p w14:paraId="7BF7A2AF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>2. Interpersonal Communication: Students interact and negotiate meaning in spontaneous spoken, signed, or written conversations to share information, reactions, ideas, feelings, opinions, and perspectives.</w:t>
            </w:r>
          </w:p>
        </w:tc>
      </w:tr>
      <w:tr w:rsidR="00DE1370" w14:paraId="008C4B46" w14:textId="77777777" w:rsidTr="00C826E3">
        <w:tc>
          <w:tcPr>
            <w:tcW w:w="2025" w:type="dxa"/>
            <w:vMerge/>
            <w:shd w:val="clear" w:color="auto" w:fill="E8BFBE"/>
          </w:tcPr>
          <w:p w14:paraId="511688F8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E8BFBE"/>
          </w:tcPr>
          <w:p w14:paraId="68917D3D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Presentational</w:t>
            </w:r>
          </w:p>
        </w:tc>
        <w:tc>
          <w:tcPr>
            <w:tcW w:w="10710" w:type="dxa"/>
            <w:shd w:val="clear" w:color="auto" w:fill="E8BFBE"/>
          </w:tcPr>
          <w:p w14:paraId="307E83A0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 xml:space="preserve">3. Presentational Communication: Students present information, concepts, ideas, feelings, opinions, and perspectives to inform, explain, </w:t>
            </w:r>
            <w:proofErr w:type="gramStart"/>
            <w:r w:rsidRPr="00126981">
              <w:rPr>
                <w:sz w:val="28"/>
                <w:szCs w:val="28"/>
                <w:lang w:val="en-US"/>
              </w:rPr>
              <w:t>persuade</w:t>
            </w:r>
            <w:proofErr w:type="gramEnd"/>
            <w:r w:rsidRPr="00126981">
              <w:rPr>
                <w:sz w:val="28"/>
                <w:szCs w:val="28"/>
                <w:lang w:val="en-US"/>
              </w:rPr>
              <w:t xml:space="preserve"> and narrate on a variety of topics using appropriate media and adapting to various audiences of listeners, readers, or viewers.</w:t>
            </w:r>
          </w:p>
        </w:tc>
      </w:tr>
      <w:tr w:rsidR="00DE1370" w14:paraId="22566274" w14:textId="77777777" w:rsidTr="00C826E3">
        <w:tc>
          <w:tcPr>
            <w:tcW w:w="2025" w:type="dxa"/>
            <w:vMerge/>
            <w:shd w:val="clear" w:color="auto" w:fill="E8BFBE"/>
          </w:tcPr>
          <w:p w14:paraId="21306E1C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E8BFBE"/>
          </w:tcPr>
          <w:p w14:paraId="59FCEC0F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Intercultural</w:t>
            </w:r>
          </w:p>
        </w:tc>
        <w:tc>
          <w:tcPr>
            <w:tcW w:w="10710" w:type="dxa"/>
            <w:shd w:val="clear" w:color="auto" w:fill="E8BFBE"/>
          </w:tcPr>
          <w:p w14:paraId="56F8D028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>4. Intercultural Communication: Students interact appropriately with others in and from another culture.</w:t>
            </w:r>
          </w:p>
        </w:tc>
      </w:tr>
      <w:tr w:rsidR="00DE1370" w14:paraId="049B471C" w14:textId="77777777" w:rsidTr="00C826E3">
        <w:tc>
          <w:tcPr>
            <w:tcW w:w="2025" w:type="dxa"/>
            <w:vMerge w:val="restart"/>
            <w:shd w:val="clear" w:color="auto" w:fill="E3ECD0"/>
          </w:tcPr>
          <w:p w14:paraId="670BC066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Linguistic Cultures</w:t>
            </w:r>
          </w:p>
        </w:tc>
        <w:tc>
          <w:tcPr>
            <w:tcW w:w="1840" w:type="dxa"/>
            <w:shd w:val="clear" w:color="auto" w:fill="E3ECD0"/>
          </w:tcPr>
          <w:p w14:paraId="48E0F51A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Cultures</w:t>
            </w:r>
          </w:p>
        </w:tc>
        <w:tc>
          <w:tcPr>
            <w:tcW w:w="10710" w:type="dxa"/>
            <w:shd w:val="clear" w:color="auto" w:fill="E3ECD0"/>
          </w:tcPr>
          <w:p w14:paraId="7927BD6F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>5. Cultures: Students gain cultural competence and understanding.</w:t>
            </w:r>
          </w:p>
        </w:tc>
      </w:tr>
      <w:tr w:rsidR="00DE1370" w14:paraId="33CEA625" w14:textId="77777777" w:rsidTr="00C826E3">
        <w:tc>
          <w:tcPr>
            <w:tcW w:w="2025" w:type="dxa"/>
            <w:vMerge/>
            <w:shd w:val="clear" w:color="auto" w:fill="E3ECD0"/>
          </w:tcPr>
          <w:p w14:paraId="5403B358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E3ECD0"/>
          </w:tcPr>
          <w:p w14:paraId="2D041D53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Comparisons</w:t>
            </w:r>
          </w:p>
        </w:tc>
        <w:tc>
          <w:tcPr>
            <w:tcW w:w="10710" w:type="dxa"/>
            <w:shd w:val="clear" w:color="auto" w:fill="E3ECD0"/>
          </w:tcPr>
          <w:p w14:paraId="11E5B147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 xml:space="preserve">6. Comparisons: Students develop insight into the nature of language and culture to interact with cultural competence. </w:t>
            </w:r>
          </w:p>
        </w:tc>
      </w:tr>
      <w:tr w:rsidR="00DE1370" w14:paraId="58F53641" w14:textId="77777777" w:rsidTr="00C826E3">
        <w:tc>
          <w:tcPr>
            <w:tcW w:w="2025" w:type="dxa"/>
            <w:vMerge w:val="restart"/>
            <w:shd w:val="clear" w:color="auto" w:fill="D9E2F3"/>
          </w:tcPr>
          <w:p w14:paraId="19C89982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Lifelong Learning</w:t>
            </w:r>
          </w:p>
        </w:tc>
        <w:tc>
          <w:tcPr>
            <w:tcW w:w="1840" w:type="dxa"/>
            <w:shd w:val="clear" w:color="auto" w:fill="D9E2F3"/>
          </w:tcPr>
          <w:p w14:paraId="3FB5CF51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Connections</w:t>
            </w:r>
          </w:p>
        </w:tc>
        <w:tc>
          <w:tcPr>
            <w:tcW w:w="10710" w:type="dxa"/>
            <w:shd w:val="clear" w:color="auto" w:fill="D9E2F3"/>
          </w:tcPr>
          <w:p w14:paraId="3CDF2E04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 xml:space="preserve">7. Connections: Students connect with other disciplines and acquire information and diverse perspectives to use the language to function in academic and career-related situations. </w:t>
            </w:r>
          </w:p>
        </w:tc>
      </w:tr>
      <w:tr w:rsidR="00DE1370" w14:paraId="35A9BCD7" w14:textId="77777777" w:rsidTr="00C826E3">
        <w:tc>
          <w:tcPr>
            <w:tcW w:w="2025" w:type="dxa"/>
            <w:vMerge/>
            <w:shd w:val="clear" w:color="auto" w:fill="D9E2F3"/>
          </w:tcPr>
          <w:p w14:paraId="522F3D8B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D9E2F3"/>
          </w:tcPr>
          <w:p w14:paraId="7958E6D8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Communities</w:t>
            </w:r>
          </w:p>
        </w:tc>
        <w:tc>
          <w:tcPr>
            <w:tcW w:w="10710" w:type="dxa"/>
            <w:shd w:val="clear" w:color="auto" w:fill="D9E2F3"/>
          </w:tcPr>
          <w:p w14:paraId="629CD524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>8. Communities: Students interact and communicate with intercultural competence and confidence to engage and responsibly collaborate with a variety of multilingual communities at home and around the world.</w:t>
            </w:r>
          </w:p>
        </w:tc>
      </w:tr>
      <w:tr w:rsidR="00DE1370" w14:paraId="288C26FD" w14:textId="77777777" w:rsidTr="00C826E3">
        <w:tc>
          <w:tcPr>
            <w:tcW w:w="2025" w:type="dxa"/>
            <w:vMerge/>
            <w:shd w:val="clear" w:color="auto" w:fill="D9E2F3"/>
          </w:tcPr>
          <w:p w14:paraId="4BBE5A1F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D9E2F3"/>
          </w:tcPr>
          <w:p w14:paraId="6094452E" w14:textId="538A0B2C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 xml:space="preserve">Social </w:t>
            </w:r>
            <w:r>
              <w:rPr>
                <w:sz w:val="28"/>
                <w:szCs w:val="28"/>
              </w:rPr>
              <w:t>&amp;</w:t>
            </w:r>
            <w:r w:rsidRPr="00DE1370">
              <w:rPr>
                <w:sz w:val="28"/>
                <w:szCs w:val="28"/>
              </w:rPr>
              <w:t xml:space="preserve"> Emotional Learning</w:t>
            </w:r>
          </w:p>
        </w:tc>
        <w:tc>
          <w:tcPr>
            <w:tcW w:w="10710" w:type="dxa"/>
            <w:shd w:val="clear" w:color="auto" w:fill="D9E2F3"/>
          </w:tcPr>
          <w:p w14:paraId="332EE175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 xml:space="preserve">9. SEL: Students develop and employ social and emotional skills that are inextricably linked to language and culture acquisition. </w:t>
            </w:r>
          </w:p>
        </w:tc>
      </w:tr>
      <w:tr w:rsidR="00DE1370" w14:paraId="166C1D2F" w14:textId="77777777" w:rsidTr="00C826E3">
        <w:trPr>
          <w:trHeight w:val="359"/>
        </w:trPr>
        <w:tc>
          <w:tcPr>
            <w:tcW w:w="2025" w:type="dxa"/>
            <w:vMerge/>
            <w:shd w:val="clear" w:color="auto" w:fill="D9E2F3"/>
          </w:tcPr>
          <w:p w14:paraId="23C07774" w14:textId="77777777" w:rsidR="00DE1370" w:rsidRPr="00DE1370" w:rsidRDefault="00DE1370" w:rsidP="00F9268F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D9E2F3"/>
          </w:tcPr>
          <w:p w14:paraId="29B351D1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DE1370">
              <w:rPr>
                <w:sz w:val="28"/>
                <w:szCs w:val="28"/>
              </w:rPr>
              <w:t>Social Justice</w:t>
            </w:r>
          </w:p>
        </w:tc>
        <w:tc>
          <w:tcPr>
            <w:tcW w:w="10710" w:type="dxa"/>
            <w:shd w:val="clear" w:color="auto" w:fill="D9E2F3"/>
          </w:tcPr>
          <w:p w14:paraId="5F568D00" w14:textId="77777777" w:rsidR="00DE1370" w:rsidRPr="00DE1370" w:rsidRDefault="00DE1370" w:rsidP="00F9268F">
            <w:pPr>
              <w:rPr>
                <w:sz w:val="28"/>
                <w:szCs w:val="28"/>
              </w:rPr>
            </w:pPr>
            <w:r w:rsidRPr="00126981">
              <w:rPr>
                <w:sz w:val="28"/>
                <w:szCs w:val="28"/>
                <w:lang w:val="en-US"/>
              </w:rPr>
              <w:t>10. Social Justice: Students think and act with critical consciousness.</w:t>
            </w:r>
          </w:p>
        </w:tc>
      </w:tr>
    </w:tbl>
    <w:p w14:paraId="7A309C61" w14:textId="77777777" w:rsidR="00DE1370" w:rsidRDefault="00DE1370"/>
    <w:sectPr w:rsidR="00DE1370" w:rsidSect="00DE13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70"/>
    <w:rsid w:val="000E2A3A"/>
    <w:rsid w:val="007637F6"/>
    <w:rsid w:val="00771EFA"/>
    <w:rsid w:val="00B2309C"/>
    <w:rsid w:val="00C826E3"/>
    <w:rsid w:val="00CE2AA2"/>
    <w:rsid w:val="00DE1370"/>
    <w:rsid w:val="00E13554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D6AE"/>
  <w15:chartTrackingRefBased/>
  <w15:docId w15:val="{5FD1EC31-02C5-4024-93A6-814F51F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D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for Practice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Practice</dc:title>
  <dc:subject/>
  <dc:creator>DESE</dc:creator>
  <cp:keywords/>
  <dc:description/>
  <cp:lastModifiedBy>Zou, Dong (EOE)</cp:lastModifiedBy>
  <cp:revision>7</cp:revision>
  <dcterms:created xsi:type="dcterms:W3CDTF">2021-10-21T19:04:00Z</dcterms:created>
  <dcterms:modified xsi:type="dcterms:W3CDTF">2022-02-14T19:29:00Z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